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588C" w:rsidRPr="007B248A" w:rsidRDefault="00501528" w:rsidP="00096006">
      <w:pPr>
        <w:spacing w:after="0" w:line="240" w:lineRule="auto"/>
        <w:ind w:left="-284"/>
        <w:jc w:val="center"/>
        <w:rPr>
          <w:rFonts w:ascii="Arial" w:eastAsia="Times New Roman" w:hAnsi="Arial" w:cs="Arial"/>
          <w:b/>
          <w:bCs/>
          <w:sz w:val="44"/>
          <w:szCs w:val="24"/>
          <w:lang w:eastAsia="en-GB"/>
        </w:rPr>
      </w:pPr>
      <w:bookmarkStart w:id="0" w:name="_GoBack"/>
      <w:bookmarkEnd w:id="0"/>
      <w:r w:rsidRPr="007B248A">
        <w:rPr>
          <w:rFonts w:ascii="Arial" w:eastAsia="Times New Roman" w:hAnsi="Arial" w:cs="Arial"/>
          <w:b/>
          <w:bCs/>
          <w:sz w:val="44"/>
          <w:szCs w:val="24"/>
          <w:lang w:eastAsia="en-GB"/>
        </w:rPr>
        <w:t>Integra</w:t>
      </w:r>
      <w:r w:rsidR="005A0F35" w:rsidRPr="007B248A">
        <w:rPr>
          <w:rFonts w:ascii="Arial" w:eastAsia="Times New Roman" w:hAnsi="Arial" w:cs="Arial"/>
          <w:b/>
          <w:bCs/>
          <w:sz w:val="44"/>
          <w:szCs w:val="24"/>
          <w:lang w:eastAsia="en-GB"/>
        </w:rPr>
        <w:t>ted Performance Report</w:t>
      </w:r>
    </w:p>
    <w:p w:rsidR="00EB64F5" w:rsidRPr="007B248A" w:rsidRDefault="006266A3" w:rsidP="00096006">
      <w:pPr>
        <w:spacing w:after="0" w:line="240" w:lineRule="auto"/>
        <w:ind w:left="-284"/>
        <w:jc w:val="center"/>
        <w:rPr>
          <w:rFonts w:ascii="Arial" w:eastAsia="Times New Roman" w:hAnsi="Arial" w:cs="Arial"/>
          <w:b/>
          <w:bCs/>
          <w:sz w:val="44"/>
          <w:szCs w:val="24"/>
          <w:lang w:eastAsia="en-GB"/>
        </w:rPr>
      </w:pPr>
      <w:r w:rsidRPr="007B248A">
        <w:rPr>
          <w:rFonts w:ascii="Arial" w:eastAsia="Times New Roman" w:hAnsi="Arial" w:cs="Arial"/>
          <w:b/>
          <w:bCs/>
          <w:sz w:val="44"/>
          <w:szCs w:val="24"/>
          <w:lang w:eastAsia="en-GB"/>
        </w:rPr>
        <w:t xml:space="preserve">(Month </w:t>
      </w:r>
      <w:r w:rsidR="00EC19F3">
        <w:rPr>
          <w:rFonts w:ascii="Arial" w:eastAsia="Times New Roman" w:hAnsi="Arial" w:cs="Arial"/>
          <w:b/>
          <w:bCs/>
          <w:sz w:val="44"/>
          <w:szCs w:val="24"/>
          <w:lang w:eastAsia="en-GB"/>
        </w:rPr>
        <w:t>2</w:t>
      </w:r>
      <w:r w:rsidR="00DA73B2">
        <w:rPr>
          <w:rFonts w:ascii="Arial" w:eastAsia="Times New Roman" w:hAnsi="Arial" w:cs="Arial"/>
          <w:b/>
          <w:bCs/>
          <w:sz w:val="44"/>
          <w:szCs w:val="24"/>
          <w:lang w:eastAsia="en-GB"/>
        </w:rPr>
        <w:t xml:space="preserve"> 2020/21</w:t>
      </w:r>
      <w:r w:rsidR="00501528" w:rsidRPr="007B248A">
        <w:rPr>
          <w:rFonts w:ascii="Arial" w:eastAsia="Times New Roman" w:hAnsi="Arial" w:cs="Arial"/>
          <w:b/>
          <w:bCs/>
          <w:sz w:val="44"/>
          <w:szCs w:val="24"/>
          <w:lang w:eastAsia="en-GB"/>
        </w:rPr>
        <w:t>)</w:t>
      </w:r>
    </w:p>
    <w:p w:rsidR="00C94E90" w:rsidRDefault="00C94E90" w:rsidP="00096006">
      <w:pPr>
        <w:spacing w:after="0" w:line="240" w:lineRule="auto"/>
        <w:ind w:left="-284"/>
        <w:jc w:val="center"/>
        <w:rPr>
          <w:rFonts w:ascii="Arial" w:eastAsia="Times New Roman" w:hAnsi="Arial" w:cs="Arial"/>
          <w:b/>
          <w:bCs/>
          <w:sz w:val="28"/>
          <w:szCs w:val="24"/>
          <w:lang w:eastAsia="en-GB"/>
        </w:rPr>
      </w:pPr>
    </w:p>
    <w:p w:rsidR="00C94E90" w:rsidRDefault="00C94E90" w:rsidP="00096006">
      <w:pPr>
        <w:spacing w:after="0" w:line="240" w:lineRule="auto"/>
        <w:ind w:left="-284"/>
        <w:jc w:val="center"/>
        <w:rPr>
          <w:rFonts w:ascii="Arial" w:eastAsia="Times New Roman" w:hAnsi="Arial" w:cs="Arial"/>
          <w:b/>
          <w:bCs/>
          <w:sz w:val="28"/>
          <w:szCs w:val="24"/>
          <w:lang w:eastAsia="en-GB"/>
        </w:rPr>
      </w:pPr>
    </w:p>
    <w:p w:rsidR="00C97F11" w:rsidRPr="002A75A3" w:rsidRDefault="004B583B" w:rsidP="008B69AD">
      <w:pPr>
        <w:tabs>
          <w:tab w:val="left" w:pos="785"/>
        </w:tabs>
        <w:spacing w:after="0" w:line="240" w:lineRule="auto"/>
        <w:ind w:left="-284"/>
        <w:rPr>
          <w:rFonts w:ascii="Arial" w:eastAsia="Calibri" w:hAnsi="Arial" w:cs="Arial"/>
          <w:b/>
          <w:bCs/>
          <w:sz w:val="32"/>
          <w:szCs w:val="24"/>
        </w:rPr>
      </w:pPr>
      <w:r w:rsidRPr="002A75A3">
        <w:rPr>
          <w:rFonts w:ascii="Arial" w:eastAsia="Calibri" w:hAnsi="Arial" w:cs="Arial"/>
          <w:b/>
          <w:bCs/>
          <w:sz w:val="32"/>
          <w:szCs w:val="24"/>
        </w:rPr>
        <w:t>Introduction</w:t>
      </w:r>
    </w:p>
    <w:p w:rsidR="001E211C" w:rsidRPr="006E0FC6" w:rsidRDefault="009D4448" w:rsidP="00096006">
      <w:pPr>
        <w:autoSpaceDE w:val="0"/>
        <w:autoSpaceDN w:val="0"/>
        <w:adjustRightInd w:val="0"/>
        <w:spacing w:after="0" w:line="240" w:lineRule="auto"/>
        <w:ind w:left="-284"/>
        <w:jc w:val="both"/>
        <w:rPr>
          <w:rFonts w:ascii="Arial" w:eastAsia="Calibri" w:hAnsi="Arial" w:cs="Arial"/>
          <w:bCs/>
          <w:sz w:val="24"/>
          <w:szCs w:val="24"/>
        </w:rPr>
      </w:pPr>
      <w:r w:rsidRPr="002A75A3">
        <w:rPr>
          <w:rFonts w:ascii="Arial" w:eastAsia="Calibri" w:hAnsi="Arial" w:cs="Arial"/>
          <w:bCs/>
          <w:sz w:val="24"/>
          <w:szCs w:val="24"/>
        </w:rPr>
        <w:t xml:space="preserve">This report provides the </w:t>
      </w:r>
      <w:r w:rsidR="005B70E2">
        <w:rPr>
          <w:rFonts w:ascii="Arial" w:eastAsia="Calibri" w:hAnsi="Arial" w:cs="Arial"/>
          <w:bCs/>
          <w:sz w:val="24"/>
          <w:szCs w:val="24"/>
        </w:rPr>
        <w:t>Trust Board</w:t>
      </w:r>
      <w:r w:rsidRPr="002A75A3">
        <w:rPr>
          <w:rFonts w:ascii="Arial" w:eastAsia="Calibri" w:hAnsi="Arial" w:cs="Arial"/>
          <w:bCs/>
          <w:sz w:val="24"/>
          <w:szCs w:val="24"/>
        </w:rPr>
        <w:t xml:space="preserve"> with an upd</w:t>
      </w:r>
      <w:r w:rsidR="003A71EB" w:rsidRPr="002A75A3">
        <w:rPr>
          <w:rFonts w:ascii="Arial" w:eastAsia="Calibri" w:hAnsi="Arial" w:cs="Arial"/>
          <w:bCs/>
          <w:sz w:val="24"/>
          <w:szCs w:val="24"/>
        </w:rPr>
        <w:t>at</w:t>
      </w:r>
      <w:r w:rsidR="006266A3" w:rsidRPr="002A75A3">
        <w:rPr>
          <w:rFonts w:ascii="Arial" w:eastAsia="Calibri" w:hAnsi="Arial" w:cs="Arial"/>
          <w:bCs/>
          <w:sz w:val="24"/>
          <w:szCs w:val="24"/>
        </w:rPr>
        <w:t xml:space="preserve">e on performance for month </w:t>
      </w:r>
      <w:r w:rsidR="002A75A3" w:rsidRPr="002A75A3">
        <w:rPr>
          <w:rFonts w:ascii="Arial" w:eastAsia="Calibri" w:hAnsi="Arial" w:cs="Arial"/>
          <w:bCs/>
          <w:sz w:val="24"/>
          <w:szCs w:val="24"/>
        </w:rPr>
        <w:t>two</w:t>
      </w:r>
      <w:r w:rsidR="00DA73B2" w:rsidRPr="002A75A3">
        <w:rPr>
          <w:rFonts w:ascii="Arial" w:eastAsia="Calibri" w:hAnsi="Arial" w:cs="Arial"/>
          <w:bCs/>
          <w:sz w:val="24"/>
          <w:szCs w:val="24"/>
        </w:rPr>
        <w:t xml:space="preserve"> </w:t>
      </w:r>
      <w:r w:rsidRPr="002A75A3">
        <w:rPr>
          <w:rFonts w:ascii="Arial" w:eastAsia="Calibri" w:hAnsi="Arial" w:cs="Arial"/>
          <w:bCs/>
          <w:sz w:val="24"/>
          <w:szCs w:val="24"/>
        </w:rPr>
        <w:t>(</w:t>
      </w:r>
      <w:r w:rsidR="002A75A3" w:rsidRPr="002A75A3">
        <w:rPr>
          <w:rFonts w:ascii="Arial" w:eastAsia="Calibri" w:hAnsi="Arial" w:cs="Arial"/>
          <w:bCs/>
          <w:sz w:val="24"/>
          <w:szCs w:val="24"/>
        </w:rPr>
        <w:t>May</w:t>
      </w:r>
      <w:r w:rsidR="00676E94" w:rsidRPr="002A75A3">
        <w:rPr>
          <w:rFonts w:ascii="Arial" w:eastAsia="Calibri" w:hAnsi="Arial" w:cs="Arial"/>
          <w:bCs/>
          <w:sz w:val="24"/>
          <w:szCs w:val="24"/>
        </w:rPr>
        <w:t> 2</w:t>
      </w:r>
      <w:r w:rsidR="00D9330A" w:rsidRPr="002A75A3">
        <w:rPr>
          <w:rFonts w:ascii="Arial" w:eastAsia="Calibri" w:hAnsi="Arial" w:cs="Arial"/>
          <w:bCs/>
          <w:sz w:val="24"/>
          <w:szCs w:val="24"/>
        </w:rPr>
        <w:t>020</w:t>
      </w:r>
      <w:r w:rsidRPr="002A75A3">
        <w:rPr>
          <w:rFonts w:ascii="Arial" w:eastAsia="Calibri" w:hAnsi="Arial" w:cs="Arial"/>
          <w:bCs/>
          <w:sz w:val="24"/>
          <w:szCs w:val="24"/>
        </w:rPr>
        <w:t>).</w:t>
      </w:r>
      <w:r w:rsidR="00D56D61" w:rsidRPr="002A75A3">
        <w:rPr>
          <w:rFonts w:ascii="Arial" w:eastAsia="Calibri" w:hAnsi="Arial" w:cs="Arial"/>
          <w:bCs/>
          <w:sz w:val="24"/>
          <w:szCs w:val="24"/>
        </w:rPr>
        <w:t xml:space="preserve"> </w:t>
      </w:r>
      <w:r w:rsidRPr="002A75A3">
        <w:rPr>
          <w:rFonts w:ascii="Arial" w:eastAsia="Calibri" w:hAnsi="Arial" w:cs="Arial"/>
          <w:bCs/>
          <w:sz w:val="24"/>
          <w:szCs w:val="24"/>
        </w:rPr>
        <w:t xml:space="preserve"> </w:t>
      </w:r>
      <w:r w:rsidR="00BF45DB" w:rsidRPr="002A75A3">
        <w:rPr>
          <w:rFonts w:ascii="Arial" w:eastAsia="Calibri" w:hAnsi="Arial" w:cs="Arial"/>
          <w:bCs/>
          <w:sz w:val="24"/>
          <w:szCs w:val="24"/>
        </w:rPr>
        <w:t>T</w:t>
      </w:r>
      <w:r w:rsidRPr="002A75A3">
        <w:rPr>
          <w:rFonts w:ascii="Arial" w:eastAsia="Calibri" w:hAnsi="Arial" w:cs="Arial"/>
          <w:bCs/>
          <w:sz w:val="24"/>
          <w:szCs w:val="24"/>
        </w:rPr>
        <w:t xml:space="preserve">he </w:t>
      </w:r>
      <w:r w:rsidR="00D10A59" w:rsidRPr="002A75A3">
        <w:rPr>
          <w:rFonts w:ascii="Arial" w:eastAsia="Calibri" w:hAnsi="Arial" w:cs="Arial"/>
          <w:bCs/>
          <w:sz w:val="24"/>
          <w:szCs w:val="24"/>
        </w:rPr>
        <w:t>access, efficiency</w:t>
      </w:r>
      <w:r w:rsidRPr="002A75A3">
        <w:rPr>
          <w:rFonts w:ascii="Arial" w:eastAsia="Calibri" w:hAnsi="Arial" w:cs="Arial"/>
          <w:bCs/>
          <w:sz w:val="24"/>
          <w:szCs w:val="24"/>
        </w:rPr>
        <w:t xml:space="preserve">, </w:t>
      </w:r>
      <w:r w:rsidR="00FC7929" w:rsidRPr="002A75A3">
        <w:rPr>
          <w:rFonts w:ascii="Arial" w:eastAsia="Calibri" w:hAnsi="Arial" w:cs="Arial"/>
          <w:bCs/>
          <w:sz w:val="24"/>
          <w:szCs w:val="24"/>
        </w:rPr>
        <w:t xml:space="preserve">quality, </w:t>
      </w:r>
      <w:r w:rsidR="00723DB2" w:rsidRPr="002A75A3">
        <w:rPr>
          <w:rFonts w:ascii="Arial" w:eastAsia="Calibri" w:hAnsi="Arial" w:cs="Arial"/>
          <w:bCs/>
          <w:sz w:val="24"/>
          <w:szCs w:val="24"/>
        </w:rPr>
        <w:t xml:space="preserve">workforce </w:t>
      </w:r>
      <w:r w:rsidR="00FC7929" w:rsidRPr="002A75A3">
        <w:rPr>
          <w:rFonts w:ascii="Arial" w:eastAsia="Calibri" w:hAnsi="Arial" w:cs="Arial"/>
          <w:bCs/>
          <w:sz w:val="24"/>
          <w:szCs w:val="24"/>
        </w:rPr>
        <w:t xml:space="preserve">and finance </w:t>
      </w:r>
      <w:r w:rsidR="00723DB2" w:rsidRPr="002A75A3">
        <w:rPr>
          <w:rFonts w:ascii="Arial" w:eastAsia="Calibri" w:hAnsi="Arial" w:cs="Arial"/>
          <w:bCs/>
          <w:sz w:val="24"/>
          <w:szCs w:val="24"/>
        </w:rPr>
        <w:t>performance</w:t>
      </w:r>
      <w:r w:rsidRPr="002A75A3">
        <w:rPr>
          <w:rFonts w:ascii="Arial" w:eastAsia="Calibri" w:hAnsi="Arial" w:cs="Arial"/>
          <w:bCs/>
          <w:sz w:val="24"/>
          <w:szCs w:val="24"/>
        </w:rPr>
        <w:t xml:space="preserve"> scorecards are presented, each followed by exception reports of key performance indicators (KPIs) against which the Trust is not compliant. </w:t>
      </w:r>
      <w:r w:rsidR="003763C2" w:rsidRPr="002A75A3">
        <w:rPr>
          <w:rFonts w:ascii="Arial" w:eastAsia="Calibri" w:hAnsi="Arial" w:cs="Arial"/>
          <w:bCs/>
          <w:sz w:val="24"/>
          <w:szCs w:val="24"/>
        </w:rPr>
        <w:t xml:space="preserve">Further detail then follows in each section, including full actions in place. </w:t>
      </w:r>
      <w:r w:rsidR="004A763A">
        <w:rPr>
          <w:rFonts w:ascii="Arial" w:eastAsia="Calibri" w:hAnsi="Arial" w:cs="Arial"/>
          <w:bCs/>
          <w:sz w:val="24"/>
          <w:szCs w:val="24"/>
        </w:rPr>
        <w:t xml:space="preserve">There is no scorecard for </w:t>
      </w:r>
      <w:r w:rsidR="004A763A" w:rsidRPr="002A75A3">
        <w:rPr>
          <w:rFonts w:ascii="Arial" w:eastAsia="Calibri" w:hAnsi="Arial" w:cs="Arial"/>
          <w:bCs/>
          <w:sz w:val="24"/>
          <w:szCs w:val="24"/>
        </w:rPr>
        <w:t>research and innovation</w:t>
      </w:r>
      <w:r w:rsidR="004A763A">
        <w:rPr>
          <w:rFonts w:ascii="Arial" w:eastAsia="Calibri" w:hAnsi="Arial" w:cs="Arial"/>
          <w:bCs/>
          <w:sz w:val="24"/>
          <w:szCs w:val="24"/>
        </w:rPr>
        <w:t>, for reasons described in section 3.4.</w:t>
      </w:r>
      <w:r w:rsidR="00D550C6">
        <w:rPr>
          <w:rFonts w:ascii="Arial" w:eastAsia="Calibri" w:hAnsi="Arial" w:cs="Arial"/>
          <w:bCs/>
          <w:sz w:val="24"/>
          <w:szCs w:val="24"/>
        </w:rPr>
        <w:t xml:space="preserve"> </w:t>
      </w:r>
      <w:r w:rsidR="00FD68BE" w:rsidRPr="006E0FC6">
        <w:rPr>
          <w:rFonts w:ascii="Arial" w:eastAsia="Calibri" w:hAnsi="Arial" w:cs="Arial"/>
          <w:bCs/>
          <w:sz w:val="24"/>
          <w:szCs w:val="24"/>
        </w:rPr>
        <w:t>A</w:t>
      </w:r>
      <w:r w:rsidR="001E211C" w:rsidRPr="006E0FC6">
        <w:rPr>
          <w:rFonts w:ascii="Arial" w:eastAsia="Calibri" w:hAnsi="Arial" w:cs="Arial"/>
          <w:bCs/>
          <w:sz w:val="24"/>
          <w:szCs w:val="24"/>
        </w:rPr>
        <w:t xml:space="preserve"> detailed quality</w:t>
      </w:r>
      <w:r w:rsidR="00F81B8C" w:rsidRPr="006E0FC6">
        <w:rPr>
          <w:rFonts w:ascii="Arial" w:eastAsia="Calibri" w:hAnsi="Arial" w:cs="Arial"/>
          <w:bCs/>
          <w:sz w:val="24"/>
          <w:szCs w:val="24"/>
        </w:rPr>
        <w:t xml:space="preserve"> section</w:t>
      </w:r>
      <w:r w:rsidR="001E211C" w:rsidRPr="006E0FC6">
        <w:rPr>
          <w:rFonts w:ascii="Arial" w:eastAsia="Calibri" w:hAnsi="Arial" w:cs="Arial"/>
          <w:bCs/>
          <w:sz w:val="24"/>
          <w:szCs w:val="24"/>
        </w:rPr>
        <w:t xml:space="preserve"> has not been included in this </w:t>
      </w:r>
      <w:r w:rsidR="00FD68BE" w:rsidRPr="006E0FC6">
        <w:rPr>
          <w:rFonts w:ascii="Arial" w:eastAsia="Calibri" w:hAnsi="Arial" w:cs="Arial"/>
          <w:bCs/>
          <w:sz w:val="24"/>
          <w:szCs w:val="24"/>
        </w:rPr>
        <w:t>report;</w:t>
      </w:r>
      <w:r w:rsidR="0046495E" w:rsidRPr="006E0FC6">
        <w:rPr>
          <w:rFonts w:ascii="Arial" w:eastAsia="Calibri" w:hAnsi="Arial" w:cs="Arial"/>
          <w:bCs/>
          <w:sz w:val="24"/>
          <w:szCs w:val="24"/>
        </w:rPr>
        <w:t xml:space="preserve"> this </w:t>
      </w:r>
      <w:r w:rsidR="005B70E2">
        <w:rPr>
          <w:rFonts w:ascii="Arial" w:eastAsia="Calibri" w:hAnsi="Arial" w:cs="Arial"/>
          <w:bCs/>
          <w:sz w:val="24"/>
          <w:szCs w:val="24"/>
        </w:rPr>
        <w:t>was</w:t>
      </w:r>
      <w:r w:rsidR="0046495E" w:rsidRPr="006E0FC6">
        <w:rPr>
          <w:rFonts w:ascii="Arial" w:eastAsia="Calibri" w:hAnsi="Arial" w:cs="Arial"/>
          <w:bCs/>
          <w:sz w:val="24"/>
          <w:szCs w:val="24"/>
        </w:rPr>
        <w:t xml:space="preserve"> covered </w:t>
      </w:r>
      <w:r w:rsidR="001E211C" w:rsidRPr="006E0FC6">
        <w:rPr>
          <w:rFonts w:ascii="Arial" w:eastAsia="Calibri" w:hAnsi="Arial" w:cs="Arial"/>
          <w:bCs/>
          <w:sz w:val="24"/>
          <w:szCs w:val="24"/>
        </w:rPr>
        <w:t>via a series of additional papers at the Quality Committee.</w:t>
      </w:r>
    </w:p>
    <w:p w:rsidR="001E211C" w:rsidRPr="002A75A3" w:rsidRDefault="001E211C" w:rsidP="00096006">
      <w:pPr>
        <w:autoSpaceDE w:val="0"/>
        <w:autoSpaceDN w:val="0"/>
        <w:adjustRightInd w:val="0"/>
        <w:spacing w:after="0" w:line="240" w:lineRule="auto"/>
        <w:ind w:left="-284"/>
        <w:jc w:val="both"/>
        <w:rPr>
          <w:rFonts w:ascii="Arial" w:eastAsia="Calibri" w:hAnsi="Arial" w:cs="Arial"/>
          <w:bCs/>
          <w:sz w:val="24"/>
          <w:szCs w:val="24"/>
        </w:rPr>
      </w:pPr>
    </w:p>
    <w:p w:rsidR="00B12271" w:rsidRPr="00EB4699" w:rsidRDefault="00EB4699" w:rsidP="00B12271">
      <w:pPr>
        <w:autoSpaceDE w:val="0"/>
        <w:autoSpaceDN w:val="0"/>
        <w:adjustRightInd w:val="0"/>
        <w:spacing w:after="0" w:line="240" w:lineRule="auto"/>
        <w:ind w:left="-284"/>
        <w:jc w:val="both"/>
        <w:rPr>
          <w:rFonts w:ascii="Arial" w:eastAsia="Calibri" w:hAnsi="Arial" w:cs="Arial"/>
          <w:bCs/>
          <w:sz w:val="24"/>
          <w:szCs w:val="24"/>
        </w:rPr>
      </w:pPr>
      <w:r>
        <w:rPr>
          <w:rFonts w:ascii="Arial" w:hAnsi="Arial" w:cs="Arial"/>
          <w:sz w:val="24"/>
          <w:szCs w:val="24"/>
          <w:lang w:eastAsia="en-GB"/>
        </w:rPr>
        <w:t>As reported in the Month 1 report, t</w:t>
      </w:r>
      <w:r w:rsidR="00760B28" w:rsidRPr="00EB4699">
        <w:rPr>
          <w:rFonts w:ascii="Arial" w:hAnsi="Arial" w:cs="Arial"/>
          <w:sz w:val="24"/>
          <w:szCs w:val="24"/>
          <w:lang w:eastAsia="en-GB"/>
        </w:rPr>
        <w:t>here are a n</w:t>
      </w:r>
      <w:r w:rsidR="006C4B6A">
        <w:rPr>
          <w:rFonts w:ascii="Arial" w:hAnsi="Arial" w:cs="Arial"/>
          <w:sz w:val="24"/>
          <w:szCs w:val="24"/>
          <w:lang w:eastAsia="en-GB"/>
        </w:rPr>
        <w:t>umber of efficiency related KPI</w:t>
      </w:r>
      <w:r w:rsidR="00760B28" w:rsidRPr="00EB4699">
        <w:rPr>
          <w:rFonts w:ascii="Arial" w:hAnsi="Arial" w:cs="Arial"/>
          <w:sz w:val="24"/>
          <w:szCs w:val="24"/>
          <w:lang w:eastAsia="en-GB"/>
        </w:rPr>
        <w:t xml:space="preserve">s that have been identified for inclusion for the 2020/21 IPR.  A number of these require a new data collection process which will be completed after the move to the new hospital, as agreed at Data Management Group. Some require targets to be set, which are </w:t>
      </w:r>
      <w:r w:rsidR="006C4B6A">
        <w:rPr>
          <w:rFonts w:ascii="Arial" w:hAnsi="Arial" w:cs="Arial"/>
          <w:sz w:val="24"/>
          <w:szCs w:val="24"/>
          <w:lang w:eastAsia="en-GB"/>
        </w:rPr>
        <w:t>being developed</w:t>
      </w:r>
      <w:r w:rsidR="00760B28" w:rsidRPr="00EB4699">
        <w:rPr>
          <w:rFonts w:ascii="Arial" w:hAnsi="Arial" w:cs="Arial"/>
          <w:sz w:val="24"/>
          <w:szCs w:val="24"/>
          <w:lang w:eastAsia="en-GB"/>
        </w:rPr>
        <w:t>. The expectation is that these will be reported in month 4.</w:t>
      </w:r>
      <w:r w:rsidR="00B12271" w:rsidRPr="00EB4699">
        <w:rPr>
          <w:rFonts w:ascii="Arial" w:hAnsi="Arial" w:cs="Arial"/>
          <w:sz w:val="24"/>
          <w:szCs w:val="24"/>
          <w:lang w:eastAsia="en-GB"/>
        </w:rPr>
        <w:t> </w:t>
      </w:r>
    </w:p>
    <w:p w:rsidR="00B12271" w:rsidRPr="00EC19F3" w:rsidRDefault="00B12271" w:rsidP="00B12271">
      <w:pPr>
        <w:autoSpaceDE w:val="0"/>
        <w:autoSpaceDN w:val="0"/>
        <w:adjustRightInd w:val="0"/>
        <w:spacing w:after="0" w:line="240" w:lineRule="auto"/>
        <w:ind w:left="-284"/>
        <w:jc w:val="both"/>
        <w:rPr>
          <w:rFonts w:ascii="Arial" w:eastAsia="Calibri" w:hAnsi="Arial" w:cs="Arial"/>
          <w:bCs/>
          <w:sz w:val="24"/>
          <w:szCs w:val="24"/>
          <w:highlight w:val="yellow"/>
        </w:rPr>
      </w:pPr>
    </w:p>
    <w:p w:rsidR="008E19F1" w:rsidRPr="002A75A3" w:rsidRDefault="00B4287C" w:rsidP="00FA20FC">
      <w:pPr>
        <w:autoSpaceDE w:val="0"/>
        <w:autoSpaceDN w:val="0"/>
        <w:adjustRightInd w:val="0"/>
        <w:spacing w:after="0" w:line="240" w:lineRule="auto"/>
        <w:ind w:left="-284"/>
        <w:jc w:val="both"/>
        <w:rPr>
          <w:rFonts w:ascii="Arial" w:hAnsi="Arial" w:cs="Arial"/>
          <w:bCs/>
          <w:sz w:val="24"/>
          <w:szCs w:val="24"/>
        </w:rPr>
      </w:pPr>
      <w:r w:rsidRPr="002A75A3">
        <w:rPr>
          <w:rFonts w:ascii="Arial" w:hAnsi="Arial" w:cs="Arial"/>
          <w:bCs/>
          <w:sz w:val="24"/>
          <w:szCs w:val="24"/>
        </w:rPr>
        <w:t>As reported in the month 12</w:t>
      </w:r>
      <w:r w:rsidR="00EB4699">
        <w:rPr>
          <w:rFonts w:ascii="Arial" w:hAnsi="Arial" w:cs="Arial"/>
          <w:bCs/>
          <w:sz w:val="24"/>
          <w:szCs w:val="24"/>
        </w:rPr>
        <w:t xml:space="preserve"> (2019/20)</w:t>
      </w:r>
      <w:r w:rsidRPr="002A75A3">
        <w:rPr>
          <w:rFonts w:ascii="Arial" w:hAnsi="Arial" w:cs="Arial"/>
          <w:bCs/>
          <w:sz w:val="24"/>
          <w:szCs w:val="24"/>
        </w:rPr>
        <w:t xml:space="preserve"> IPR</w:t>
      </w:r>
      <w:r w:rsidR="006C4B6A">
        <w:rPr>
          <w:rFonts w:ascii="Arial" w:hAnsi="Arial" w:cs="Arial"/>
          <w:bCs/>
          <w:sz w:val="24"/>
          <w:szCs w:val="24"/>
        </w:rPr>
        <w:t xml:space="preserve"> and</w:t>
      </w:r>
      <w:r w:rsidRPr="002A75A3">
        <w:rPr>
          <w:rFonts w:ascii="Arial" w:hAnsi="Arial" w:cs="Arial"/>
          <w:bCs/>
          <w:sz w:val="24"/>
          <w:szCs w:val="24"/>
        </w:rPr>
        <w:t xml:space="preserve"> still relevant, </w:t>
      </w:r>
      <w:r w:rsidR="00FA20FC" w:rsidRPr="002A75A3">
        <w:rPr>
          <w:rFonts w:ascii="Arial" w:hAnsi="Arial" w:cs="Arial"/>
          <w:bCs/>
          <w:sz w:val="24"/>
          <w:szCs w:val="24"/>
        </w:rPr>
        <w:t>NHSE</w:t>
      </w:r>
      <w:r w:rsidR="00D2125E" w:rsidRPr="002A75A3">
        <w:rPr>
          <w:rFonts w:ascii="Arial" w:hAnsi="Arial" w:cs="Arial"/>
          <w:bCs/>
          <w:sz w:val="24"/>
          <w:szCs w:val="24"/>
        </w:rPr>
        <w:t>/I</w:t>
      </w:r>
      <w:r w:rsidR="00FA20FC" w:rsidRPr="002A75A3">
        <w:rPr>
          <w:rFonts w:ascii="Arial" w:hAnsi="Arial" w:cs="Arial"/>
          <w:bCs/>
          <w:sz w:val="24"/>
          <w:szCs w:val="24"/>
        </w:rPr>
        <w:t xml:space="preserve"> </w:t>
      </w:r>
      <w:r w:rsidR="00436F11" w:rsidRPr="002A75A3">
        <w:rPr>
          <w:rFonts w:ascii="Arial" w:hAnsi="Arial" w:cs="Arial"/>
          <w:bCs/>
          <w:sz w:val="24"/>
          <w:szCs w:val="24"/>
        </w:rPr>
        <w:t>communicated</w:t>
      </w:r>
      <w:r w:rsidR="0009730A" w:rsidRPr="002A75A3">
        <w:rPr>
          <w:rFonts w:ascii="Arial" w:hAnsi="Arial" w:cs="Arial"/>
          <w:bCs/>
          <w:sz w:val="24"/>
          <w:szCs w:val="24"/>
        </w:rPr>
        <w:t xml:space="preserve"> t</w:t>
      </w:r>
      <w:r w:rsidR="004432A5" w:rsidRPr="002A75A3">
        <w:rPr>
          <w:rFonts w:ascii="Arial" w:hAnsi="Arial" w:cs="Arial"/>
          <w:bCs/>
          <w:sz w:val="24"/>
          <w:szCs w:val="24"/>
        </w:rPr>
        <w:t xml:space="preserve">he ‘Reducing burden and releasing capacity at NHS providers and commissioners to manage the COVID-19 pandemic’ letter </w:t>
      </w:r>
      <w:r w:rsidR="00436F11" w:rsidRPr="002A75A3">
        <w:rPr>
          <w:rFonts w:ascii="Arial" w:hAnsi="Arial" w:cs="Arial"/>
          <w:bCs/>
          <w:sz w:val="24"/>
          <w:szCs w:val="24"/>
        </w:rPr>
        <w:t>to all Trusts on the 28</w:t>
      </w:r>
      <w:r w:rsidR="00436F11" w:rsidRPr="002A75A3">
        <w:rPr>
          <w:rFonts w:ascii="Arial" w:hAnsi="Arial" w:cs="Arial"/>
          <w:bCs/>
          <w:sz w:val="24"/>
          <w:szCs w:val="24"/>
          <w:vertAlign w:val="superscript"/>
        </w:rPr>
        <w:t>th</w:t>
      </w:r>
      <w:r w:rsidR="00436F11" w:rsidRPr="002A75A3">
        <w:rPr>
          <w:rFonts w:ascii="Arial" w:hAnsi="Arial" w:cs="Arial"/>
          <w:bCs/>
          <w:sz w:val="24"/>
          <w:szCs w:val="24"/>
        </w:rPr>
        <w:t xml:space="preserve"> March 2020.</w:t>
      </w:r>
      <w:r w:rsidR="0009730A" w:rsidRPr="002A75A3">
        <w:rPr>
          <w:rFonts w:ascii="Arial" w:hAnsi="Arial" w:cs="Arial"/>
          <w:bCs/>
          <w:sz w:val="24"/>
          <w:szCs w:val="24"/>
        </w:rPr>
        <w:t xml:space="preserve"> </w:t>
      </w:r>
      <w:r w:rsidR="004432A5" w:rsidRPr="002A75A3">
        <w:rPr>
          <w:rFonts w:ascii="Arial" w:hAnsi="Arial" w:cs="Arial"/>
          <w:bCs/>
          <w:sz w:val="24"/>
          <w:szCs w:val="24"/>
        </w:rPr>
        <w:t xml:space="preserve">This included the following </w:t>
      </w:r>
      <w:r w:rsidR="008E19F1" w:rsidRPr="002A75A3">
        <w:rPr>
          <w:rFonts w:ascii="Arial" w:hAnsi="Arial" w:cs="Arial"/>
          <w:bCs/>
          <w:sz w:val="24"/>
          <w:szCs w:val="24"/>
        </w:rPr>
        <w:t xml:space="preserve">guidance </w:t>
      </w:r>
      <w:r w:rsidR="00132271" w:rsidRPr="002A75A3">
        <w:rPr>
          <w:rFonts w:ascii="Arial" w:hAnsi="Arial" w:cs="Arial"/>
          <w:bCs/>
          <w:sz w:val="24"/>
          <w:szCs w:val="24"/>
        </w:rPr>
        <w:t xml:space="preserve">relevant to The CCC </w:t>
      </w:r>
      <w:r w:rsidR="008E19F1" w:rsidRPr="002A75A3">
        <w:rPr>
          <w:rFonts w:ascii="Arial" w:hAnsi="Arial" w:cs="Arial"/>
          <w:bCs/>
          <w:sz w:val="24"/>
          <w:szCs w:val="24"/>
        </w:rPr>
        <w:t>rega</w:t>
      </w:r>
      <w:r w:rsidR="00132271" w:rsidRPr="002A75A3">
        <w:rPr>
          <w:rFonts w:ascii="Arial" w:hAnsi="Arial" w:cs="Arial"/>
          <w:bCs/>
          <w:sz w:val="24"/>
          <w:szCs w:val="24"/>
        </w:rPr>
        <w:t xml:space="preserve">rding </w:t>
      </w:r>
      <w:r w:rsidR="00AA1F47" w:rsidRPr="002A75A3">
        <w:rPr>
          <w:rFonts w:ascii="Arial" w:hAnsi="Arial" w:cs="Arial"/>
          <w:bCs/>
          <w:sz w:val="24"/>
          <w:szCs w:val="24"/>
        </w:rPr>
        <w:t xml:space="preserve">the reporting of </w:t>
      </w:r>
      <w:r w:rsidR="00132271" w:rsidRPr="002A75A3">
        <w:rPr>
          <w:rFonts w:ascii="Arial" w:hAnsi="Arial" w:cs="Arial"/>
          <w:bCs/>
          <w:sz w:val="24"/>
          <w:szCs w:val="24"/>
        </w:rPr>
        <w:t>data</w:t>
      </w:r>
      <w:r w:rsidR="008E19F1" w:rsidRPr="002A75A3">
        <w:rPr>
          <w:rFonts w:ascii="Arial" w:hAnsi="Arial" w:cs="Arial"/>
          <w:bCs/>
          <w:sz w:val="24"/>
          <w:szCs w:val="24"/>
        </w:rPr>
        <w:t>:</w:t>
      </w:r>
    </w:p>
    <w:p w:rsidR="008E19F1" w:rsidRPr="002A75A3" w:rsidRDefault="008E19F1" w:rsidP="00FA20FC">
      <w:pPr>
        <w:autoSpaceDE w:val="0"/>
        <w:autoSpaceDN w:val="0"/>
        <w:adjustRightInd w:val="0"/>
        <w:spacing w:after="0" w:line="240" w:lineRule="auto"/>
        <w:ind w:left="-284"/>
        <w:jc w:val="both"/>
        <w:rPr>
          <w:rFonts w:ascii="Arial" w:hAnsi="Arial" w:cs="Arial"/>
          <w:bCs/>
          <w:sz w:val="24"/>
          <w:szCs w:val="24"/>
        </w:rPr>
      </w:pPr>
    </w:p>
    <w:p w:rsidR="00E30472" w:rsidRPr="00B32EDC" w:rsidRDefault="008E19F1" w:rsidP="00B32EDC">
      <w:pPr>
        <w:pStyle w:val="ListParagraph"/>
        <w:numPr>
          <w:ilvl w:val="0"/>
          <w:numId w:val="36"/>
        </w:numPr>
        <w:autoSpaceDE w:val="0"/>
        <w:autoSpaceDN w:val="0"/>
        <w:adjustRightInd w:val="0"/>
        <w:spacing w:after="0" w:line="240" w:lineRule="auto"/>
        <w:ind w:left="360"/>
        <w:jc w:val="both"/>
        <w:rPr>
          <w:rFonts w:ascii="Arial" w:hAnsi="Arial" w:cs="Arial"/>
          <w:bCs/>
          <w:sz w:val="24"/>
          <w:szCs w:val="24"/>
        </w:rPr>
      </w:pPr>
      <w:r w:rsidRPr="00B32EDC">
        <w:rPr>
          <w:rFonts w:ascii="Arial" w:hAnsi="Arial" w:cs="Arial"/>
          <w:bCs/>
          <w:sz w:val="24"/>
          <w:szCs w:val="24"/>
        </w:rPr>
        <w:t>Friends and Family test: Stop reporting req</w:t>
      </w:r>
      <w:r w:rsidR="00F97E17" w:rsidRPr="00B32EDC">
        <w:rPr>
          <w:rFonts w:ascii="Arial" w:hAnsi="Arial" w:cs="Arial"/>
          <w:bCs/>
          <w:sz w:val="24"/>
          <w:szCs w:val="24"/>
        </w:rPr>
        <w:t>uirement to NHS England and NHS </w:t>
      </w:r>
      <w:r w:rsidRPr="00B32EDC">
        <w:rPr>
          <w:rFonts w:ascii="Arial" w:hAnsi="Arial" w:cs="Arial"/>
          <w:bCs/>
          <w:sz w:val="24"/>
          <w:szCs w:val="24"/>
        </w:rPr>
        <w:t>Improvement</w:t>
      </w:r>
    </w:p>
    <w:p w:rsidR="008E19F1" w:rsidRPr="002A75A3" w:rsidRDefault="008E19F1" w:rsidP="00B32EDC">
      <w:pPr>
        <w:autoSpaceDE w:val="0"/>
        <w:autoSpaceDN w:val="0"/>
        <w:adjustRightInd w:val="0"/>
        <w:spacing w:after="0" w:line="240" w:lineRule="auto"/>
        <w:jc w:val="both"/>
        <w:rPr>
          <w:rFonts w:ascii="Arial" w:eastAsia="Calibri" w:hAnsi="Arial" w:cs="Arial"/>
          <w:bCs/>
          <w:sz w:val="24"/>
          <w:szCs w:val="24"/>
        </w:rPr>
      </w:pPr>
    </w:p>
    <w:p w:rsidR="00B32EDC" w:rsidRPr="00B32EDC" w:rsidRDefault="008E19F1" w:rsidP="00B32EDC">
      <w:pPr>
        <w:pStyle w:val="ListParagraph"/>
        <w:numPr>
          <w:ilvl w:val="0"/>
          <w:numId w:val="36"/>
        </w:numPr>
        <w:autoSpaceDE w:val="0"/>
        <w:autoSpaceDN w:val="0"/>
        <w:adjustRightInd w:val="0"/>
        <w:spacing w:after="0" w:line="240" w:lineRule="auto"/>
        <w:ind w:left="360"/>
        <w:jc w:val="both"/>
        <w:rPr>
          <w:rFonts w:ascii="Arial" w:eastAsia="Calibri" w:hAnsi="Arial" w:cs="Arial"/>
          <w:bCs/>
          <w:sz w:val="24"/>
          <w:szCs w:val="24"/>
        </w:rPr>
      </w:pPr>
      <w:r w:rsidRPr="00B32EDC">
        <w:rPr>
          <w:rFonts w:ascii="Arial" w:eastAsia="Calibri" w:hAnsi="Arial" w:cs="Arial"/>
          <w:bCs/>
          <w:sz w:val="24"/>
          <w:szCs w:val="24"/>
        </w:rPr>
        <w:t xml:space="preserve">RTT: </w:t>
      </w:r>
      <w:r w:rsidR="00F97E17" w:rsidRPr="00B32EDC">
        <w:rPr>
          <w:rFonts w:ascii="Arial" w:eastAsia="Calibri" w:hAnsi="Arial" w:cs="Arial"/>
          <w:bCs/>
          <w:sz w:val="24"/>
          <w:szCs w:val="24"/>
        </w:rPr>
        <w:t xml:space="preserve"> </w:t>
      </w:r>
      <w:r w:rsidRPr="00B32EDC">
        <w:rPr>
          <w:rFonts w:ascii="Arial" w:eastAsia="Calibri" w:hAnsi="Arial" w:cs="Arial"/>
          <w:bCs/>
          <w:sz w:val="24"/>
          <w:szCs w:val="24"/>
        </w:rPr>
        <w:t>Recording of clock starts and stops should continue in line with current practice for</w:t>
      </w:r>
      <w:r w:rsidR="00132271" w:rsidRPr="00B32EDC">
        <w:rPr>
          <w:rFonts w:ascii="Arial" w:eastAsia="Calibri" w:hAnsi="Arial" w:cs="Arial"/>
          <w:bCs/>
          <w:sz w:val="24"/>
          <w:szCs w:val="24"/>
        </w:rPr>
        <w:t xml:space="preserve"> </w:t>
      </w:r>
      <w:r w:rsidRPr="00B32EDC">
        <w:rPr>
          <w:rFonts w:ascii="Arial" w:eastAsia="Calibri" w:hAnsi="Arial" w:cs="Arial"/>
          <w:bCs/>
          <w:sz w:val="24"/>
          <w:szCs w:val="24"/>
        </w:rPr>
        <w:t>people who are self-isolating, people in vulnerable groups, patients who cancel or do not</w:t>
      </w:r>
      <w:r w:rsidR="00132271" w:rsidRPr="00B32EDC">
        <w:rPr>
          <w:rFonts w:ascii="Arial" w:eastAsia="Calibri" w:hAnsi="Arial" w:cs="Arial"/>
          <w:bCs/>
          <w:sz w:val="24"/>
          <w:szCs w:val="24"/>
        </w:rPr>
        <w:t xml:space="preserve"> </w:t>
      </w:r>
      <w:r w:rsidRPr="00B32EDC">
        <w:rPr>
          <w:rFonts w:ascii="Arial" w:eastAsia="Calibri" w:hAnsi="Arial" w:cs="Arial"/>
          <w:bCs/>
          <w:sz w:val="24"/>
          <w:szCs w:val="24"/>
        </w:rPr>
        <w:t>attend due to fears around entering a hospital setting, and patients who have their</w:t>
      </w:r>
      <w:r w:rsidR="00132271" w:rsidRPr="00B32EDC">
        <w:rPr>
          <w:rFonts w:ascii="Arial" w:eastAsia="Calibri" w:hAnsi="Arial" w:cs="Arial"/>
          <w:bCs/>
          <w:sz w:val="24"/>
          <w:szCs w:val="24"/>
        </w:rPr>
        <w:t xml:space="preserve"> </w:t>
      </w:r>
      <w:r w:rsidRPr="00B32EDC">
        <w:rPr>
          <w:rFonts w:ascii="Arial" w:eastAsia="Calibri" w:hAnsi="Arial" w:cs="Arial"/>
          <w:bCs/>
          <w:sz w:val="24"/>
          <w:szCs w:val="24"/>
        </w:rPr>
        <w:t>appointments cancelled by the hospital</w:t>
      </w:r>
    </w:p>
    <w:p w:rsidR="00B32EDC" w:rsidRPr="00B32EDC" w:rsidRDefault="00B32EDC" w:rsidP="00B32EDC">
      <w:pPr>
        <w:autoSpaceDE w:val="0"/>
        <w:autoSpaceDN w:val="0"/>
        <w:adjustRightInd w:val="0"/>
        <w:spacing w:after="0" w:line="240" w:lineRule="auto"/>
        <w:jc w:val="both"/>
        <w:rPr>
          <w:rFonts w:ascii="Arial" w:eastAsia="Calibri" w:hAnsi="Arial" w:cs="Arial"/>
          <w:bCs/>
          <w:sz w:val="24"/>
          <w:szCs w:val="24"/>
        </w:rPr>
      </w:pPr>
    </w:p>
    <w:p w:rsidR="00436F11" w:rsidRPr="00B32EDC" w:rsidRDefault="00D2125E" w:rsidP="00B32EDC">
      <w:pPr>
        <w:pStyle w:val="ListParagraph"/>
        <w:numPr>
          <w:ilvl w:val="0"/>
          <w:numId w:val="36"/>
        </w:numPr>
        <w:autoSpaceDE w:val="0"/>
        <w:autoSpaceDN w:val="0"/>
        <w:adjustRightInd w:val="0"/>
        <w:spacing w:after="0" w:line="240" w:lineRule="auto"/>
        <w:ind w:left="360"/>
        <w:jc w:val="both"/>
        <w:rPr>
          <w:rFonts w:ascii="Arial" w:eastAsia="Calibri" w:hAnsi="Arial" w:cs="Arial"/>
          <w:bCs/>
          <w:sz w:val="24"/>
          <w:szCs w:val="24"/>
        </w:rPr>
      </w:pPr>
      <w:r w:rsidRPr="00B32EDC">
        <w:rPr>
          <w:rFonts w:ascii="Arial" w:eastAsia="Calibri" w:hAnsi="Arial" w:cs="Arial"/>
          <w:bCs/>
          <w:sz w:val="24"/>
          <w:szCs w:val="24"/>
        </w:rPr>
        <w:t>T</w:t>
      </w:r>
      <w:r w:rsidR="002B3F70" w:rsidRPr="00B32EDC">
        <w:rPr>
          <w:rFonts w:ascii="Arial" w:eastAsia="Calibri" w:hAnsi="Arial" w:cs="Arial"/>
          <w:bCs/>
          <w:sz w:val="24"/>
          <w:szCs w:val="24"/>
        </w:rPr>
        <w:t>he 28-day Faster Diagnosis Standard</w:t>
      </w:r>
      <w:r w:rsidR="00132271" w:rsidRPr="00B32EDC">
        <w:rPr>
          <w:rFonts w:ascii="Arial" w:eastAsia="Calibri" w:hAnsi="Arial" w:cs="Arial"/>
          <w:bCs/>
          <w:sz w:val="24"/>
          <w:szCs w:val="24"/>
        </w:rPr>
        <w:t xml:space="preserve"> </w:t>
      </w:r>
      <w:r w:rsidR="002B3F70" w:rsidRPr="00B32EDC">
        <w:rPr>
          <w:rFonts w:ascii="Arial" w:eastAsia="Calibri" w:hAnsi="Arial" w:cs="Arial"/>
          <w:bCs/>
          <w:sz w:val="24"/>
          <w:szCs w:val="24"/>
        </w:rPr>
        <w:t>(which was due to come into effect from Wednesday 1 April) will still have data collected,</w:t>
      </w:r>
      <w:r w:rsidR="00132271" w:rsidRPr="00B32EDC">
        <w:rPr>
          <w:rFonts w:ascii="Arial" w:eastAsia="Calibri" w:hAnsi="Arial" w:cs="Arial"/>
          <w:bCs/>
          <w:sz w:val="24"/>
          <w:szCs w:val="24"/>
        </w:rPr>
        <w:t xml:space="preserve"> </w:t>
      </w:r>
      <w:r w:rsidR="002B3F70" w:rsidRPr="00B32EDC">
        <w:rPr>
          <w:rFonts w:ascii="Arial" w:eastAsia="Calibri" w:hAnsi="Arial" w:cs="Arial"/>
          <w:bCs/>
          <w:sz w:val="24"/>
          <w:szCs w:val="24"/>
        </w:rPr>
        <w:t>but will not be subject to formal performance management.</w:t>
      </w:r>
    </w:p>
    <w:p w:rsidR="00132271" w:rsidRPr="00B32EDC" w:rsidRDefault="00436F11" w:rsidP="00B32EDC">
      <w:pPr>
        <w:pStyle w:val="ListParagraph"/>
        <w:numPr>
          <w:ilvl w:val="0"/>
          <w:numId w:val="36"/>
        </w:numPr>
        <w:ind w:left="360"/>
        <w:rPr>
          <w:rFonts w:ascii="Arial" w:eastAsia="Calibri" w:hAnsi="Arial" w:cs="Arial"/>
          <w:bCs/>
          <w:sz w:val="24"/>
          <w:szCs w:val="24"/>
        </w:rPr>
      </w:pPr>
      <w:r w:rsidRPr="00B32EDC">
        <w:rPr>
          <w:rFonts w:ascii="Arial" w:eastAsia="Calibri" w:hAnsi="Arial" w:cs="Arial"/>
          <w:bCs/>
          <w:sz w:val="24"/>
          <w:szCs w:val="24"/>
        </w:rPr>
        <w:t>Mandatory training: Reduce (non-ICU) mandatory training as appropriate</w:t>
      </w:r>
      <w:r w:rsidR="00F97E17" w:rsidRPr="00B32EDC">
        <w:rPr>
          <w:rFonts w:ascii="Arial" w:eastAsia="Calibri" w:hAnsi="Arial" w:cs="Arial"/>
          <w:bCs/>
          <w:sz w:val="24"/>
          <w:szCs w:val="24"/>
        </w:rPr>
        <w:t>.</w:t>
      </w:r>
    </w:p>
    <w:p w:rsidR="00B12271" w:rsidRPr="00B32EDC" w:rsidRDefault="00D2125E" w:rsidP="00B32EDC">
      <w:pPr>
        <w:pStyle w:val="ListParagraph"/>
        <w:numPr>
          <w:ilvl w:val="0"/>
          <w:numId w:val="36"/>
        </w:numPr>
        <w:autoSpaceDE w:val="0"/>
        <w:autoSpaceDN w:val="0"/>
        <w:adjustRightInd w:val="0"/>
        <w:spacing w:after="0" w:line="240" w:lineRule="auto"/>
        <w:ind w:left="360"/>
        <w:jc w:val="both"/>
        <w:rPr>
          <w:rFonts w:ascii="Arial" w:eastAsia="Calibri" w:hAnsi="Arial" w:cs="Arial"/>
          <w:bCs/>
          <w:sz w:val="24"/>
          <w:szCs w:val="24"/>
        </w:rPr>
      </w:pPr>
      <w:r w:rsidRPr="00B32EDC">
        <w:rPr>
          <w:rFonts w:ascii="Arial" w:eastAsia="Calibri" w:hAnsi="Arial" w:cs="Arial"/>
          <w:bCs/>
          <w:sz w:val="24"/>
          <w:szCs w:val="24"/>
        </w:rPr>
        <w:t>T</w:t>
      </w:r>
      <w:r w:rsidR="00132271" w:rsidRPr="00B32EDC">
        <w:rPr>
          <w:rFonts w:ascii="Arial" w:eastAsia="Calibri" w:hAnsi="Arial" w:cs="Arial"/>
          <w:bCs/>
          <w:sz w:val="24"/>
          <w:szCs w:val="24"/>
        </w:rPr>
        <w:t>he</w:t>
      </w:r>
      <w:r w:rsidR="00436F11" w:rsidRPr="00B32EDC">
        <w:rPr>
          <w:rFonts w:ascii="Arial" w:eastAsia="Calibri" w:hAnsi="Arial" w:cs="Arial"/>
          <w:bCs/>
          <w:sz w:val="24"/>
          <w:szCs w:val="24"/>
        </w:rPr>
        <w:t xml:space="preserve"> following </w:t>
      </w:r>
      <w:r w:rsidR="00132271" w:rsidRPr="00B32EDC">
        <w:rPr>
          <w:rFonts w:ascii="Arial" w:eastAsia="Calibri" w:hAnsi="Arial" w:cs="Arial"/>
          <w:bCs/>
          <w:sz w:val="24"/>
          <w:szCs w:val="24"/>
        </w:rPr>
        <w:t xml:space="preserve">returns </w:t>
      </w:r>
      <w:r w:rsidR="00436F11" w:rsidRPr="00B32EDC">
        <w:rPr>
          <w:rFonts w:ascii="Arial" w:eastAsia="Calibri" w:hAnsi="Arial" w:cs="Arial"/>
          <w:bCs/>
          <w:sz w:val="24"/>
          <w:szCs w:val="24"/>
        </w:rPr>
        <w:t xml:space="preserve">are not required for submission </w:t>
      </w:r>
      <w:r w:rsidRPr="00B32EDC">
        <w:rPr>
          <w:rFonts w:ascii="Arial" w:eastAsia="Calibri" w:hAnsi="Arial" w:cs="Arial"/>
          <w:bCs/>
          <w:sz w:val="24"/>
          <w:szCs w:val="24"/>
        </w:rPr>
        <w:t>between 1 April 2020 and</w:t>
      </w:r>
      <w:r w:rsidR="00A45AA3" w:rsidRPr="00B32EDC">
        <w:rPr>
          <w:rFonts w:ascii="Arial" w:eastAsia="Calibri" w:hAnsi="Arial" w:cs="Arial"/>
          <w:bCs/>
          <w:sz w:val="24"/>
          <w:szCs w:val="24"/>
        </w:rPr>
        <w:t xml:space="preserve"> 30 June </w:t>
      </w:r>
      <w:r w:rsidR="00132271" w:rsidRPr="00B32EDC">
        <w:rPr>
          <w:rFonts w:ascii="Arial" w:eastAsia="Calibri" w:hAnsi="Arial" w:cs="Arial"/>
          <w:bCs/>
          <w:sz w:val="24"/>
          <w:szCs w:val="24"/>
        </w:rPr>
        <w:t xml:space="preserve">2020: </w:t>
      </w:r>
      <w:r w:rsidR="00F97E17" w:rsidRPr="00B32EDC">
        <w:rPr>
          <w:rFonts w:ascii="Arial" w:eastAsia="Calibri" w:hAnsi="Arial" w:cs="Arial"/>
          <w:bCs/>
          <w:sz w:val="24"/>
          <w:szCs w:val="24"/>
        </w:rPr>
        <w:t xml:space="preserve"> </w:t>
      </w:r>
      <w:r w:rsidR="00132271" w:rsidRPr="00B32EDC">
        <w:rPr>
          <w:rFonts w:ascii="Arial" w:eastAsia="Calibri" w:hAnsi="Arial" w:cs="Arial"/>
          <w:bCs/>
          <w:sz w:val="24"/>
          <w:szCs w:val="24"/>
        </w:rPr>
        <w:t>Delayed Transfers of Care, VTE Risk Assessment, dementia assessment and referral</w:t>
      </w:r>
      <w:r w:rsidR="00AA1F47" w:rsidRPr="00B32EDC">
        <w:rPr>
          <w:rFonts w:ascii="Arial" w:eastAsia="Calibri" w:hAnsi="Arial" w:cs="Arial"/>
          <w:bCs/>
          <w:sz w:val="24"/>
          <w:szCs w:val="24"/>
        </w:rPr>
        <w:t>.</w:t>
      </w:r>
    </w:p>
    <w:p w:rsidR="00B12271" w:rsidRPr="002A75A3" w:rsidRDefault="00B12271" w:rsidP="00B32EDC">
      <w:pPr>
        <w:pStyle w:val="ListParagraph"/>
        <w:ind w:left="284"/>
        <w:rPr>
          <w:rFonts w:ascii="Arial" w:hAnsi="Arial" w:cs="Arial"/>
          <w:bCs/>
          <w:sz w:val="24"/>
          <w:szCs w:val="24"/>
        </w:rPr>
      </w:pPr>
    </w:p>
    <w:p w:rsidR="00132271" w:rsidRPr="00B32EDC" w:rsidRDefault="00436F11" w:rsidP="00B32EDC">
      <w:pPr>
        <w:autoSpaceDE w:val="0"/>
        <w:autoSpaceDN w:val="0"/>
        <w:adjustRightInd w:val="0"/>
        <w:spacing w:after="0" w:line="240" w:lineRule="auto"/>
        <w:jc w:val="both"/>
        <w:rPr>
          <w:rFonts w:ascii="Arial" w:eastAsia="Calibri" w:hAnsi="Arial" w:cs="Arial"/>
          <w:bCs/>
          <w:sz w:val="24"/>
          <w:szCs w:val="24"/>
        </w:rPr>
      </w:pPr>
      <w:r w:rsidRPr="00B32EDC">
        <w:rPr>
          <w:rFonts w:ascii="Arial" w:hAnsi="Arial" w:cs="Arial"/>
          <w:bCs/>
          <w:sz w:val="24"/>
          <w:szCs w:val="24"/>
        </w:rPr>
        <w:t>Despite this guidance</w:t>
      </w:r>
      <w:r w:rsidR="00313F70" w:rsidRPr="00B32EDC">
        <w:rPr>
          <w:rFonts w:ascii="Arial" w:hAnsi="Arial" w:cs="Arial"/>
          <w:bCs/>
          <w:sz w:val="24"/>
          <w:szCs w:val="24"/>
        </w:rPr>
        <w:t>,</w:t>
      </w:r>
      <w:r w:rsidRPr="00B32EDC">
        <w:rPr>
          <w:rFonts w:ascii="Arial" w:hAnsi="Arial" w:cs="Arial"/>
          <w:bCs/>
          <w:sz w:val="24"/>
          <w:szCs w:val="24"/>
        </w:rPr>
        <w:t xml:space="preserve"> the Trust will continue to monitor these targets internally.</w:t>
      </w:r>
    </w:p>
    <w:p w:rsidR="00B12271" w:rsidRDefault="00B12271" w:rsidP="00C359BE">
      <w:pPr>
        <w:autoSpaceDE w:val="0"/>
        <w:autoSpaceDN w:val="0"/>
        <w:adjustRightInd w:val="0"/>
        <w:spacing w:after="0" w:line="240" w:lineRule="auto"/>
        <w:jc w:val="both"/>
        <w:rPr>
          <w:rFonts w:ascii="Arial" w:hAnsi="Arial" w:cs="Arial"/>
          <w:sz w:val="24"/>
          <w:szCs w:val="24"/>
          <w:highlight w:val="yellow"/>
        </w:rPr>
      </w:pPr>
    </w:p>
    <w:p w:rsidR="00C359BE" w:rsidRDefault="00C359BE" w:rsidP="00803E17">
      <w:pPr>
        <w:autoSpaceDE w:val="0"/>
        <w:autoSpaceDN w:val="0"/>
        <w:adjustRightInd w:val="0"/>
        <w:spacing w:after="0" w:line="240" w:lineRule="auto"/>
        <w:jc w:val="both"/>
        <w:rPr>
          <w:rFonts w:ascii="Arial" w:hAnsi="Arial" w:cs="Arial"/>
          <w:sz w:val="24"/>
          <w:szCs w:val="24"/>
          <w:highlight w:val="yellow"/>
        </w:rPr>
      </w:pPr>
    </w:p>
    <w:p w:rsidR="002A75A3" w:rsidRDefault="00C359BE" w:rsidP="003574DD">
      <w:pPr>
        <w:autoSpaceDE w:val="0"/>
        <w:autoSpaceDN w:val="0"/>
        <w:adjustRightInd w:val="0"/>
        <w:spacing w:after="0" w:line="240" w:lineRule="auto"/>
        <w:ind w:left="-284"/>
        <w:jc w:val="both"/>
        <w:rPr>
          <w:rFonts w:ascii="Arial" w:hAnsi="Arial" w:cs="Arial"/>
          <w:sz w:val="24"/>
          <w:szCs w:val="24"/>
          <w:highlight w:val="yellow"/>
        </w:rPr>
      </w:pPr>
      <w:r>
        <w:rPr>
          <w:rFonts w:ascii="Arial" w:hAnsi="Arial" w:cs="Arial"/>
          <w:sz w:val="24"/>
          <w:szCs w:val="24"/>
        </w:rPr>
        <w:t xml:space="preserve">A draft version of the </w:t>
      </w:r>
      <w:r w:rsidRPr="00C359BE">
        <w:rPr>
          <w:rFonts w:ascii="Arial" w:hAnsi="Arial" w:cs="Arial"/>
          <w:sz w:val="24"/>
          <w:szCs w:val="24"/>
        </w:rPr>
        <w:t>National Cancer Waiting Times Monitoring Dataset Guidance</w:t>
      </w:r>
      <w:r>
        <w:rPr>
          <w:rFonts w:ascii="Arial" w:hAnsi="Arial" w:cs="Arial"/>
          <w:sz w:val="24"/>
          <w:szCs w:val="24"/>
        </w:rPr>
        <w:t xml:space="preserve"> V11.0 has been circulated</w:t>
      </w:r>
      <w:r w:rsidR="00803E17">
        <w:rPr>
          <w:rFonts w:ascii="Arial" w:hAnsi="Arial" w:cs="Arial"/>
          <w:sz w:val="24"/>
          <w:szCs w:val="24"/>
        </w:rPr>
        <w:t xml:space="preserve"> for consultation</w:t>
      </w:r>
      <w:r>
        <w:rPr>
          <w:rFonts w:ascii="Arial" w:hAnsi="Arial" w:cs="Arial"/>
          <w:sz w:val="24"/>
          <w:szCs w:val="24"/>
        </w:rPr>
        <w:t>,</w:t>
      </w:r>
      <w:r w:rsidR="0093614D">
        <w:rPr>
          <w:rFonts w:ascii="Arial" w:hAnsi="Arial" w:cs="Arial"/>
          <w:sz w:val="24"/>
          <w:szCs w:val="24"/>
        </w:rPr>
        <w:t xml:space="preserve"> with implementation proposed from July 2020.</w:t>
      </w:r>
      <w:r>
        <w:rPr>
          <w:rFonts w:ascii="Arial" w:hAnsi="Arial" w:cs="Arial"/>
          <w:sz w:val="24"/>
          <w:szCs w:val="24"/>
        </w:rPr>
        <w:t xml:space="preserve"> </w:t>
      </w:r>
      <w:r w:rsidR="0093614D">
        <w:rPr>
          <w:rFonts w:ascii="Arial" w:hAnsi="Arial" w:cs="Arial"/>
          <w:sz w:val="24"/>
          <w:szCs w:val="24"/>
        </w:rPr>
        <w:t>The main changes to affect CCC are the introduction of a</w:t>
      </w:r>
      <w:r w:rsidRPr="00C359BE">
        <w:rPr>
          <w:rFonts w:ascii="Arial" w:hAnsi="Arial" w:cs="Arial"/>
          <w:sz w:val="24"/>
          <w:szCs w:val="24"/>
        </w:rPr>
        <w:t>djustment</w:t>
      </w:r>
      <w:r w:rsidR="0044300E">
        <w:rPr>
          <w:rFonts w:ascii="Arial" w:hAnsi="Arial" w:cs="Arial"/>
          <w:sz w:val="24"/>
          <w:szCs w:val="24"/>
        </w:rPr>
        <w:t>s</w:t>
      </w:r>
      <w:r w:rsidRPr="00C359BE">
        <w:rPr>
          <w:rFonts w:ascii="Arial" w:hAnsi="Arial" w:cs="Arial"/>
          <w:sz w:val="24"/>
          <w:szCs w:val="24"/>
        </w:rPr>
        <w:t xml:space="preserve"> for the clinically urgent trea</w:t>
      </w:r>
      <w:r w:rsidR="0093614D">
        <w:rPr>
          <w:rFonts w:ascii="Arial" w:hAnsi="Arial" w:cs="Arial"/>
          <w:sz w:val="24"/>
          <w:szCs w:val="24"/>
        </w:rPr>
        <w:t>tment of another condition</w:t>
      </w:r>
      <w:r w:rsidR="0044300E">
        <w:rPr>
          <w:rFonts w:ascii="Arial" w:hAnsi="Arial" w:cs="Arial"/>
          <w:sz w:val="24"/>
          <w:szCs w:val="24"/>
        </w:rPr>
        <w:t>, for en</w:t>
      </w:r>
      <w:r w:rsidR="00A36BA4">
        <w:rPr>
          <w:rFonts w:ascii="Arial" w:hAnsi="Arial" w:cs="Arial"/>
          <w:sz w:val="24"/>
          <w:szCs w:val="24"/>
        </w:rPr>
        <w:t xml:space="preserve">abling treatments (e.g. PEG, </w:t>
      </w:r>
      <w:r w:rsidR="0044300E">
        <w:rPr>
          <w:rFonts w:ascii="Arial" w:hAnsi="Arial" w:cs="Arial"/>
          <w:sz w:val="24"/>
          <w:szCs w:val="24"/>
        </w:rPr>
        <w:t>dental</w:t>
      </w:r>
      <w:r w:rsidR="00A36BA4">
        <w:rPr>
          <w:rFonts w:ascii="Arial" w:hAnsi="Arial" w:cs="Arial"/>
          <w:sz w:val="24"/>
          <w:szCs w:val="24"/>
        </w:rPr>
        <w:t xml:space="preserve"> and B12</w:t>
      </w:r>
      <w:r w:rsidR="0044300E">
        <w:rPr>
          <w:rFonts w:ascii="Arial" w:hAnsi="Arial" w:cs="Arial"/>
          <w:sz w:val="24"/>
          <w:szCs w:val="24"/>
        </w:rPr>
        <w:t>)</w:t>
      </w:r>
      <w:r w:rsidR="0093614D">
        <w:rPr>
          <w:rFonts w:ascii="Arial" w:hAnsi="Arial" w:cs="Arial"/>
          <w:sz w:val="24"/>
          <w:szCs w:val="24"/>
        </w:rPr>
        <w:t xml:space="preserve"> and </w:t>
      </w:r>
      <w:r w:rsidR="006E0FC6">
        <w:rPr>
          <w:rFonts w:ascii="Arial" w:hAnsi="Arial" w:cs="Arial"/>
          <w:sz w:val="24"/>
          <w:szCs w:val="24"/>
        </w:rPr>
        <w:t>when</w:t>
      </w:r>
      <w:r w:rsidR="0093614D" w:rsidRPr="0093614D">
        <w:rPr>
          <w:rFonts w:ascii="Arial" w:hAnsi="Arial" w:cs="Arial"/>
          <w:sz w:val="24"/>
          <w:szCs w:val="24"/>
        </w:rPr>
        <w:t xml:space="preserve"> a patient declines a ‘reasonable’ offer of treatment</w:t>
      </w:r>
      <w:r w:rsidR="0093614D">
        <w:rPr>
          <w:rFonts w:ascii="Arial" w:hAnsi="Arial" w:cs="Arial"/>
          <w:sz w:val="24"/>
          <w:szCs w:val="24"/>
        </w:rPr>
        <w:t xml:space="preserve">, for </w:t>
      </w:r>
      <w:r w:rsidR="0093614D" w:rsidRPr="00C359BE">
        <w:rPr>
          <w:rFonts w:ascii="Arial" w:hAnsi="Arial" w:cs="Arial"/>
          <w:sz w:val="24"/>
          <w:szCs w:val="24"/>
        </w:rPr>
        <w:t>both admitted and non-admitted pathways.</w:t>
      </w:r>
    </w:p>
    <w:p w:rsidR="002A75A3" w:rsidRPr="00EC19F3" w:rsidRDefault="002A75A3" w:rsidP="00B12271">
      <w:pPr>
        <w:autoSpaceDE w:val="0"/>
        <w:autoSpaceDN w:val="0"/>
        <w:adjustRightInd w:val="0"/>
        <w:spacing w:after="0" w:line="240" w:lineRule="auto"/>
        <w:jc w:val="both"/>
        <w:rPr>
          <w:rFonts w:ascii="Arial" w:hAnsi="Arial" w:cs="Arial"/>
          <w:sz w:val="24"/>
          <w:szCs w:val="24"/>
          <w:highlight w:val="yellow"/>
        </w:rPr>
      </w:pPr>
    </w:p>
    <w:p w:rsidR="00B12271" w:rsidRPr="00EC19F3" w:rsidRDefault="00B12271" w:rsidP="00B12271">
      <w:pPr>
        <w:autoSpaceDE w:val="0"/>
        <w:autoSpaceDN w:val="0"/>
        <w:adjustRightInd w:val="0"/>
        <w:spacing w:after="0" w:line="240" w:lineRule="auto"/>
        <w:jc w:val="both"/>
        <w:rPr>
          <w:rFonts w:ascii="Arial" w:eastAsia="Calibri" w:hAnsi="Arial" w:cs="Arial"/>
          <w:bCs/>
          <w:sz w:val="24"/>
          <w:szCs w:val="24"/>
          <w:highlight w:val="yellow"/>
        </w:rPr>
      </w:pPr>
    </w:p>
    <w:tbl>
      <w:tblPr>
        <w:tblW w:w="10065" w:type="dxa"/>
        <w:tblInd w:w="-318" w:type="dxa"/>
        <w:shd w:val="clear" w:color="auto" w:fill="76923C" w:themeFill="accent3" w:themeFillShade="BF"/>
        <w:tblLook w:val="04A0" w:firstRow="1" w:lastRow="0" w:firstColumn="1" w:lastColumn="0" w:noHBand="0" w:noVBand="1"/>
      </w:tblPr>
      <w:tblGrid>
        <w:gridCol w:w="10065"/>
      </w:tblGrid>
      <w:tr w:rsidR="0010158B" w:rsidRPr="00AE798A" w:rsidTr="00E25CA3">
        <w:trPr>
          <w:trHeight w:hRule="exact" w:val="510"/>
        </w:trPr>
        <w:tc>
          <w:tcPr>
            <w:tcW w:w="10065" w:type="dxa"/>
            <w:shd w:val="clear" w:color="auto" w:fill="006A71"/>
          </w:tcPr>
          <w:p w:rsidR="0010158B" w:rsidRPr="00AE798A" w:rsidRDefault="0010158B" w:rsidP="00E25CA3">
            <w:pPr>
              <w:ind w:right="-768"/>
              <w:rPr>
                <w:rFonts w:ascii="Arial" w:hAnsi="Arial" w:cs="Arial"/>
                <w:b/>
                <w:color w:val="FFFFFF" w:themeColor="background1"/>
                <w:sz w:val="44"/>
              </w:rPr>
            </w:pPr>
            <w:bookmarkStart w:id="1" w:name="_Toc514423285"/>
            <w:r w:rsidRPr="00AE798A">
              <w:rPr>
                <w:rFonts w:ascii="Arial" w:hAnsi="Arial" w:cs="Arial"/>
                <w:b/>
                <w:color w:val="FFFFFF" w:themeColor="background1"/>
                <w:sz w:val="44"/>
              </w:rPr>
              <w:t xml:space="preserve">1. </w:t>
            </w:r>
            <w:bookmarkEnd w:id="1"/>
            <w:r w:rsidR="00C95CF8" w:rsidRPr="00AE798A">
              <w:rPr>
                <w:rFonts w:ascii="Arial" w:hAnsi="Arial" w:cs="Arial"/>
                <w:b/>
                <w:color w:val="FFFFFF" w:themeColor="background1"/>
                <w:sz w:val="44"/>
              </w:rPr>
              <w:t>Performance Scorecards</w:t>
            </w:r>
            <w:r w:rsidRPr="00AE798A">
              <w:rPr>
                <w:rFonts w:ascii="Arial" w:hAnsi="Arial" w:cs="Arial"/>
                <w:b/>
                <w:color w:val="FFFFFF" w:themeColor="background1"/>
                <w:sz w:val="44"/>
              </w:rPr>
              <w:t xml:space="preserve"> </w:t>
            </w:r>
          </w:p>
        </w:tc>
      </w:tr>
    </w:tbl>
    <w:p w:rsidR="00373415" w:rsidRPr="00AE798A" w:rsidRDefault="00373415" w:rsidP="00373415">
      <w:pPr>
        <w:autoSpaceDE w:val="0"/>
        <w:autoSpaceDN w:val="0"/>
        <w:adjustRightInd w:val="0"/>
        <w:spacing w:after="0" w:line="240" w:lineRule="auto"/>
        <w:jc w:val="both"/>
        <w:rPr>
          <w:rFonts w:ascii="Arial" w:eastAsia="Calibri" w:hAnsi="Arial" w:cs="Arial"/>
          <w:bCs/>
          <w:sz w:val="4"/>
          <w:szCs w:val="24"/>
        </w:rPr>
      </w:pPr>
    </w:p>
    <w:p w:rsidR="00373415" w:rsidRPr="00AE798A" w:rsidRDefault="00373415" w:rsidP="00AE798A">
      <w:pPr>
        <w:autoSpaceDE w:val="0"/>
        <w:autoSpaceDN w:val="0"/>
        <w:adjustRightInd w:val="0"/>
        <w:spacing w:after="0" w:line="240" w:lineRule="auto"/>
        <w:ind w:left="-426"/>
        <w:jc w:val="both"/>
        <w:rPr>
          <w:rFonts w:ascii="Arial" w:eastAsia="Calibri" w:hAnsi="Arial" w:cs="Arial"/>
          <w:bCs/>
          <w:sz w:val="18"/>
          <w:szCs w:val="24"/>
        </w:rPr>
      </w:pPr>
    </w:p>
    <w:p w:rsidR="00373415" w:rsidRPr="00AE798A" w:rsidRDefault="00373415" w:rsidP="00AE798A">
      <w:pPr>
        <w:autoSpaceDE w:val="0"/>
        <w:autoSpaceDN w:val="0"/>
        <w:adjustRightInd w:val="0"/>
        <w:spacing w:after="0" w:line="240" w:lineRule="auto"/>
        <w:ind w:left="-426"/>
        <w:jc w:val="both"/>
        <w:rPr>
          <w:rFonts w:ascii="Arial" w:eastAsia="Calibri" w:hAnsi="Arial" w:cs="Arial"/>
          <w:bCs/>
          <w:sz w:val="18"/>
          <w:szCs w:val="24"/>
        </w:rPr>
      </w:pPr>
      <w:r w:rsidRPr="00AE798A">
        <w:rPr>
          <w:rFonts w:ascii="Arial" w:eastAsia="Calibri" w:hAnsi="Arial" w:cs="Arial"/>
          <w:bCs/>
          <w:sz w:val="18"/>
          <w:szCs w:val="24"/>
        </w:rPr>
        <w:t>Scorecard Directive Key: S = Statutory | C = Contractual | L = Local</w:t>
      </w:r>
    </w:p>
    <w:p w:rsidR="00373415" w:rsidRPr="00AE798A" w:rsidRDefault="00373415" w:rsidP="00AE798A">
      <w:pPr>
        <w:autoSpaceDE w:val="0"/>
        <w:autoSpaceDN w:val="0"/>
        <w:adjustRightInd w:val="0"/>
        <w:spacing w:after="0" w:line="240" w:lineRule="auto"/>
        <w:ind w:left="-426"/>
        <w:jc w:val="both"/>
        <w:rPr>
          <w:rFonts w:ascii="Arial" w:eastAsia="Calibri" w:hAnsi="Arial" w:cs="Arial"/>
          <w:bCs/>
          <w:sz w:val="18"/>
          <w:szCs w:val="24"/>
        </w:rPr>
      </w:pPr>
    </w:p>
    <w:p w:rsidR="00540697" w:rsidRPr="00195D9A" w:rsidRDefault="00230CD8" w:rsidP="001E6D19">
      <w:pPr>
        <w:pStyle w:val="ListParagraph"/>
        <w:numPr>
          <w:ilvl w:val="1"/>
          <w:numId w:val="4"/>
        </w:numPr>
        <w:autoSpaceDE w:val="0"/>
        <w:autoSpaceDN w:val="0"/>
        <w:adjustRightInd w:val="0"/>
        <w:spacing w:after="0" w:line="240" w:lineRule="auto"/>
        <w:jc w:val="both"/>
        <w:rPr>
          <w:rFonts w:ascii="Arial" w:eastAsia="Calibri" w:hAnsi="Arial" w:cs="Arial"/>
          <w:b/>
          <w:bCs/>
          <w:sz w:val="24"/>
          <w:szCs w:val="24"/>
        </w:rPr>
      </w:pPr>
      <w:r w:rsidRPr="00B113F1">
        <w:rPr>
          <w:rFonts w:ascii="Arial" w:eastAsia="Calibri" w:hAnsi="Arial" w:cs="Arial"/>
          <w:b/>
          <w:bCs/>
          <w:sz w:val="32"/>
          <w:szCs w:val="24"/>
        </w:rPr>
        <w:t xml:space="preserve">Access </w:t>
      </w:r>
    </w:p>
    <w:p w:rsidR="00195D9A" w:rsidRDefault="00195D9A" w:rsidP="00195D9A">
      <w:pPr>
        <w:autoSpaceDE w:val="0"/>
        <w:autoSpaceDN w:val="0"/>
        <w:adjustRightInd w:val="0"/>
        <w:spacing w:after="0" w:line="240" w:lineRule="auto"/>
        <w:jc w:val="both"/>
        <w:rPr>
          <w:rFonts w:ascii="Arial" w:eastAsia="Calibri" w:hAnsi="Arial" w:cs="Arial"/>
          <w:b/>
          <w:bCs/>
          <w:sz w:val="24"/>
          <w:szCs w:val="24"/>
        </w:rPr>
      </w:pPr>
    </w:p>
    <w:p w:rsidR="0084242F" w:rsidRPr="00EC19F3" w:rsidRDefault="00E02A47" w:rsidP="004B61FF">
      <w:pPr>
        <w:autoSpaceDE w:val="0"/>
        <w:autoSpaceDN w:val="0"/>
        <w:adjustRightInd w:val="0"/>
        <w:spacing w:after="0" w:line="240" w:lineRule="auto"/>
        <w:ind w:left="-426"/>
        <w:jc w:val="both"/>
        <w:rPr>
          <w:rFonts w:ascii="Arial" w:eastAsia="Calibri" w:hAnsi="Arial" w:cs="Arial"/>
          <w:b/>
          <w:bCs/>
          <w:sz w:val="16"/>
          <w:szCs w:val="16"/>
          <w:highlight w:val="yellow"/>
        </w:rPr>
      </w:pPr>
      <w:r w:rsidRPr="00E02A47">
        <w:rPr>
          <w:noProof/>
          <w:lang w:eastAsia="en-GB"/>
        </w:rPr>
        <w:drawing>
          <wp:inline distT="0" distB="0" distL="0" distR="0" wp14:anchorId="03B910C9" wp14:editId="6DC5A677">
            <wp:extent cx="6210300" cy="2902871"/>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10300" cy="2902871"/>
                    </a:xfrm>
                    <a:prstGeom prst="rect">
                      <a:avLst/>
                    </a:prstGeom>
                    <a:noFill/>
                    <a:ln>
                      <a:noFill/>
                    </a:ln>
                  </pic:spPr>
                </pic:pic>
              </a:graphicData>
            </a:graphic>
          </wp:inline>
        </w:drawing>
      </w:r>
    </w:p>
    <w:p w:rsidR="00F97E17" w:rsidRDefault="00F97E17" w:rsidP="00E72630">
      <w:pPr>
        <w:autoSpaceDE w:val="0"/>
        <w:autoSpaceDN w:val="0"/>
        <w:adjustRightInd w:val="0"/>
        <w:spacing w:after="0" w:line="240" w:lineRule="auto"/>
        <w:ind w:left="-426"/>
        <w:jc w:val="both"/>
        <w:rPr>
          <w:rFonts w:ascii="Arial" w:eastAsia="Calibri" w:hAnsi="Arial" w:cs="Arial"/>
          <w:b/>
          <w:bCs/>
          <w:sz w:val="20"/>
          <w:szCs w:val="20"/>
          <w:highlight w:val="yellow"/>
        </w:rPr>
      </w:pPr>
    </w:p>
    <w:p w:rsidR="00E02A47" w:rsidRPr="00E02A47" w:rsidRDefault="00E02A47" w:rsidP="00E72630">
      <w:pPr>
        <w:autoSpaceDE w:val="0"/>
        <w:autoSpaceDN w:val="0"/>
        <w:adjustRightInd w:val="0"/>
        <w:spacing w:after="0" w:line="240" w:lineRule="auto"/>
        <w:ind w:left="-426"/>
        <w:jc w:val="both"/>
        <w:rPr>
          <w:rFonts w:ascii="Arial" w:eastAsia="Calibri" w:hAnsi="Arial" w:cs="Arial"/>
          <w:b/>
          <w:bCs/>
          <w:sz w:val="10"/>
          <w:szCs w:val="20"/>
          <w:highlight w:val="yellow"/>
        </w:rPr>
      </w:pPr>
    </w:p>
    <w:p w:rsidR="00097A70" w:rsidRDefault="00230CD8" w:rsidP="001E6D19">
      <w:pPr>
        <w:pStyle w:val="ListParagraph"/>
        <w:numPr>
          <w:ilvl w:val="1"/>
          <w:numId w:val="4"/>
        </w:numPr>
        <w:autoSpaceDE w:val="0"/>
        <w:autoSpaceDN w:val="0"/>
        <w:adjustRightInd w:val="0"/>
        <w:spacing w:after="0" w:line="240" w:lineRule="auto"/>
        <w:jc w:val="both"/>
        <w:rPr>
          <w:rFonts w:ascii="Arial" w:eastAsia="Calibri" w:hAnsi="Arial" w:cs="Arial"/>
          <w:b/>
          <w:bCs/>
          <w:sz w:val="32"/>
          <w:szCs w:val="24"/>
        </w:rPr>
      </w:pPr>
      <w:r w:rsidRPr="00E72630">
        <w:rPr>
          <w:rFonts w:ascii="Arial" w:eastAsia="Calibri" w:hAnsi="Arial" w:cs="Arial"/>
          <w:b/>
          <w:bCs/>
          <w:sz w:val="32"/>
          <w:szCs w:val="24"/>
        </w:rPr>
        <w:t>Efficiency</w:t>
      </w:r>
    </w:p>
    <w:p w:rsidR="00E02A47" w:rsidRPr="00E02A47" w:rsidRDefault="00E02A47" w:rsidP="00E02A47">
      <w:pPr>
        <w:pStyle w:val="ListParagraph"/>
        <w:autoSpaceDE w:val="0"/>
        <w:autoSpaceDN w:val="0"/>
        <w:adjustRightInd w:val="0"/>
        <w:spacing w:after="0" w:line="240" w:lineRule="auto"/>
        <w:ind w:left="114"/>
        <w:jc w:val="both"/>
        <w:rPr>
          <w:rFonts w:ascii="Arial" w:eastAsia="Calibri" w:hAnsi="Arial" w:cs="Arial"/>
          <w:b/>
          <w:bCs/>
          <w:sz w:val="20"/>
          <w:szCs w:val="24"/>
        </w:rPr>
      </w:pPr>
    </w:p>
    <w:p w:rsidR="00AE798A" w:rsidRDefault="00E02A47" w:rsidP="00AE798A">
      <w:pPr>
        <w:autoSpaceDE w:val="0"/>
        <w:autoSpaceDN w:val="0"/>
        <w:adjustRightInd w:val="0"/>
        <w:spacing w:after="0" w:line="240" w:lineRule="auto"/>
        <w:ind w:left="-426"/>
        <w:jc w:val="both"/>
        <w:rPr>
          <w:rFonts w:ascii="Arial" w:eastAsia="Calibri" w:hAnsi="Arial" w:cs="Arial"/>
          <w:b/>
          <w:bCs/>
          <w:sz w:val="20"/>
          <w:szCs w:val="20"/>
          <w:highlight w:val="yellow"/>
        </w:rPr>
      </w:pPr>
      <w:r>
        <w:rPr>
          <w:rFonts w:ascii="Arial" w:eastAsia="Calibri" w:hAnsi="Arial" w:cs="Arial"/>
          <w:b/>
          <w:bCs/>
          <w:noProof/>
          <w:sz w:val="20"/>
          <w:szCs w:val="20"/>
          <w:lang w:eastAsia="en-GB"/>
        </w:rPr>
        <w:drawing>
          <wp:inline distT="0" distB="0" distL="0" distR="0" wp14:anchorId="0D265491">
            <wp:extent cx="6212205" cy="427355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12205" cy="4273550"/>
                    </a:xfrm>
                    <a:prstGeom prst="rect">
                      <a:avLst/>
                    </a:prstGeom>
                    <a:noFill/>
                  </pic:spPr>
                </pic:pic>
              </a:graphicData>
            </a:graphic>
          </wp:inline>
        </w:drawing>
      </w:r>
    </w:p>
    <w:p w:rsidR="00AE798A" w:rsidRPr="00AE798A" w:rsidRDefault="00AE798A" w:rsidP="00230CD8">
      <w:pPr>
        <w:autoSpaceDE w:val="0"/>
        <w:autoSpaceDN w:val="0"/>
        <w:adjustRightInd w:val="0"/>
        <w:spacing w:after="0" w:line="240" w:lineRule="auto"/>
        <w:ind w:left="-426"/>
        <w:jc w:val="both"/>
        <w:rPr>
          <w:rFonts w:ascii="Arial" w:eastAsia="Calibri" w:hAnsi="Arial" w:cs="Arial"/>
          <w:b/>
          <w:bCs/>
          <w:sz w:val="8"/>
          <w:szCs w:val="8"/>
          <w:highlight w:val="yellow"/>
        </w:rPr>
      </w:pPr>
    </w:p>
    <w:p w:rsidR="00AE798A" w:rsidRPr="00EC19F3" w:rsidRDefault="00AE798A" w:rsidP="00230CD8">
      <w:pPr>
        <w:autoSpaceDE w:val="0"/>
        <w:autoSpaceDN w:val="0"/>
        <w:adjustRightInd w:val="0"/>
        <w:spacing w:after="0" w:line="240" w:lineRule="auto"/>
        <w:ind w:left="-426"/>
        <w:jc w:val="both"/>
        <w:rPr>
          <w:rFonts w:ascii="Arial" w:eastAsia="Calibri" w:hAnsi="Arial" w:cs="Arial"/>
          <w:b/>
          <w:bCs/>
          <w:sz w:val="20"/>
          <w:szCs w:val="20"/>
          <w:highlight w:val="yellow"/>
        </w:rPr>
      </w:pPr>
    </w:p>
    <w:p w:rsidR="00097A70" w:rsidRDefault="00042B59" w:rsidP="001E6D19">
      <w:pPr>
        <w:pStyle w:val="ListParagraph"/>
        <w:numPr>
          <w:ilvl w:val="1"/>
          <w:numId w:val="4"/>
        </w:numPr>
        <w:autoSpaceDE w:val="0"/>
        <w:autoSpaceDN w:val="0"/>
        <w:adjustRightInd w:val="0"/>
        <w:spacing w:after="0" w:line="240" w:lineRule="auto"/>
        <w:jc w:val="both"/>
        <w:rPr>
          <w:rFonts w:ascii="Arial" w:eastAsia="Calibri" w:hAnsi="Arial" w:cs="Arial"/>
          <w:b/>
          <w:bCs/>
          <w:sz w:val="32"/>
          <w:szCs w:val="24"/>
        </w:rPr>
      </w:pPr>
      <w:r w:rsidRPr="005952F8">
        <w:rPr>
          <w:rFonts w:ascii="Arial" w:eastAsia="Calibri" w:hAnsi="Arial" w:cs="Arial"/>
          <w:b/>
          <w:bCs/>
          <w:sz w:val="32"/>
          <w:szCs w:val="24"/>
        </w:rPr>
        <w:t>Quality</w:t>
      </w:r>
      <w:r w:rsidR="00C64D60" w:rsidRPr="005952F8">
        <w:rPr>
          <w:rFonts w:ascii="Arial" w:eastAsia="Calibri" w:hAnsi="Arial" w:cs="Arial"/>
          <w:b/>
          <w:bCs/>
          <w:sz w:val="32"/>
          <w:szCs w:val="24"/>
        </w:rPr>
        <w:t xml:space="preserve"> </w:t>
      </w:r>
    </w:p>
    <w:p w:rsidR="00311BAF" w:rsidRPr="005952F8" w:rsidRDefault="00311BAF" w:rsidP="00311BAF">
      <w:pPr>
        <w:pStyle w:val="ListParagraph"/>
        <w:autoSpaceDE w:val="0"/>
        <w:autoSpaceDN w:val="0"/>
        <w:adjustRightInd w:val="0"/>
        <w:spacing w:after="0" w:line="240" w:lineRule="auto"/>
        <w:ind w:left="114"/>
        <w:jc w:val="both"/>
        <w:rPr>
          <w:rFonts w:ascii="Arial" w:eastAsia="Calibri" w:hAnsi="Arial" w:cs="Arial"/>
          <w:b/>
          <w:bCs/>
          <w:sz w:val="32"/>
          <w:szCs w:val="24"/>
        </w:rPr>
      </w:pPr>
    </w:p>
    <w:p w:rsidR="00F02A25" w:rsidRDefault="00F02A25" w:rsidP="009A2239">
      <w:pPr>
        <w:autoSpaceDE w:val="0"/>
        <w:autoSpaceDN w:val="0"/>
        <w:adjustRightInd w:val="0"/>
        <w:spacing w:after="0" w:line="240" w:lineRule="auto"/>
        <w:ind w:left="-426"/>
        <w:jc w:val="both"/>
        <w:rPr>
          <w:rFonts w:ascii="Arial" w:eastAsia="Calibri" w:hAnsi="Arial" w:cs="Arial"/>
          <w:bCs/>
          <w:sz w:val="18"/>
          <w:szCs w:val="24"/>
        </w:rPr>
      </w:pPr>
      <w:r w:rsidRPr="005952F8">
        <w:rPr>
          <w:rFonts w:ascii="Arial" w:eastAsia="Calibri" w:hAnsi="Arial" w:cs="Arial"/>
          <w:bCs/>
          <w:sz w:val="18"/>
          <w:szCs w:val="24"/>
        </w:rPr>
        <w:t>Scorecard Directive Key: S = Statutory | C = Contractual | L = Local</w:t>
      </w:r>
    </w:p>
    <w:p w:rsidR="00F36E86" w:rsidRDefault="00F36E86" w:rsidP="009A2239">
      <w:pPr>
        <w:autoSpaceDE w:val="0"/>
        <w:autoSpaceDN w:val="0"/>
        <w:adjustRightInd w:val="0"/>
        <w:spacing w:after="0" w:line="240" w:lineRule="auto"/>
        <w:ind w:left="-426"/>
        <w:jc w:val="both"/>
        <w:rPr>
          <w:rFonts w:ascii="Arial" w:eastAsia="Calibri" w:hAnsi="Arial" w:cs="Arial"/>
          <w:bCs/>
          <w:sz w:val="18"/>
          <w:szCs w:val="24"/>
        </w:rPr>
      </w:pPr>
    </w:p>
    <w:p w:rsidR="00F36E86" w:rsidRDefault="00F36E86" w:rsidP="009A2239">
      <w:pPr>
        <w:autoSpaceDE w:val="0"/>
        <w:autoSpaceDN w:val="0"/>
        <w:adjustRightInd w:val="0"/>
        <w:spacing w:after="0" w:line="240" w:lineRule="auto"/>
        <w:ind w:left="-426"/>
        <w:jc w:val="both"/>
        <w:rPr>
          <w:rFonts w:ascii="Arial" w:eastAsia="Calibri" w:hAnsi="Arial" w:cs="Arial"/>
          <w:bCs/>
          <w:sz w:val="18"/>
          <w:szCs w:val="24"/>
        </w:rPr>
      </w:pPr>
      <w:r w:rsidRPr="00F36E86">
        <w:rPr>
          <w:noProof/>
          <w:lang w:eastAsia="en-GB"/>
        </w:rPr>
        <w:drawing>
          <wp:inline distT="0" distB="0" distL="0" distR="0" wp14:anchorId="2941CC76" wp14:editId="5C4D8D2D">
            <wp:extent cx="6210300" cy="8000930"/>
            <wp:effectExtent l="0" t="0" r="0" b="63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210300" cy="8000930"/>
                    </a:xfrm>
                    <a:prstGeom prst="rect">
                      <a:avLst/>
                    </a:prstGeom>
                    <a:noFill/>
                    <a:ln>
                      <a:noFill/>
                    </a:ln>
                  </pic:spPr>
                </pic:pic>
              </a:graphicData>
            </a:graphic>
          </wp:inline>
        </w:drawing>
      </w:r>
    </w:p>
    <w:p w:rsidR="001C51AB" w:rsidRDefault="001C51AB" w:rsidP="009A2239">
      <w:pPr>
        <w:autoSpaceDE w:val="0"/>
        <w:autoSpaceDN w:val="0"/>
        <w:adjustRightInd w:val="0"/>
        <w:spacing w:after="0" w:line="240" w:lineRule="auto"/>
        <w:ind w:left="-426"/>
        <w:jc w:val="both"/>
        <w:rPr>
          <w:rFonts w:ascii="Arial" w:eastAsia="Calibri" w:hAnsi="Arial" w:cs="Arial"/>
          <w:bCs/>
          <w:sz w:val="18"/>
          <w:szCs w:val="24"/>
        </w:rPr>
      </w:pPr>
    </w:p>
    <w:p w:rsidR="00311BAF" w:rsidRDefault="00311BAF" w:rsidP="009A2239">
      <w:pPr>
        <w:autoSpaceDE w:val="0"/>
        <w:autoSpaceDN w:val="0"/>
        <w:adjustRightInd w:val="0"/>
        <w:spacing w:after="0" w:line="240" w:lineRule="auto"/>
        <w:ind w:left="-426"/>
        <w:jc w:val="both"/>
        <w:rPr>
          <w:rFonts w:ascii="Arial" w:eastAsia="Calibri" w:hAnsi="Arial" w:cs="Arial"/>
          <w:bCs/>
          <w:sz w:val="18"/>
          <w:szCs w:val="24"/>
        </w:rPr>
      </w:pPr>
    </w:p>
    <w:p w:rsidR="00311BAF" w:rsidRPr="005952F8" w:rsidRDefault="00311BAF" w:rsidP="009A2239">
      <w:pPr>
        <w:autoSpaceDE w:val="0"/>
        <w:autoSpaceDN w:val="0"/>
        <w:adjustRightInd w:val="0"/>
        <w:spacing w:after="0" w:line="240" w:lineRule="auto"/>
        <w:ind w:left="-426"/>
        <w:jc w:val="both"/>
        <w:rPr>
          <w:rFonts w:ascii="Arial" w:eastAsia="Calibri" w:hAnsi="Arial" w:cs="Arial"/>
          <w:bCs/>
          <w:sz w:val="18"/>
          <w:szCs w:val="24"/>
        </w:rPr>
      </w:pPr>
    </w:p>
    <w:p w:rsidR="005F7E1E" w:rsidRPr="00EC19F3" w:rsidRDefault="005F7E1E" w:rsidP="00AE4B3B">
      <w:pPr>
        <w:autoSpaceDE w:val="0"/>
        <w:autoSpaceDN w:val="0"/>
        <w:adjustRightInd w:val="0"/>
        <w:spacing w:after="0" w:line="240" w:lineRule="auto"/>
        <w:ind w:left="-426"/>
        <w:jc w:val="both"/>
        <w:rPr>
          <w:rFonts w:ascii="Arial" w:eastAsia="Calibri" w:hAnsi="Arial" w:cs="Arial"/>
          <w:b/>
          <w:bCs/>
          <w:sz w:val="32"/>
          <w:szCs w:val="24"/>
          <w:highlight w:val="yellow"/>
        </w:rPr>
      </w:pPr>
    </w:p>
    <w:p w:rsidR="00230CD8" w:rsidRPr="0084242F" w:rsidRDefault="00097A70" w:rsidP="00AE4B3B">
      <w:pPr>
        <w:autoSpaceDE w:val="0"/>
        <w:autoSpaceDN w:val="0"/>
        <w:adjustRightInd w:val="0"/>
        <w:spacing w:after="0" w:line="240" w:lineRule="auto"/>
        <w:ind w:left="-426"/>
        <w:jc w:val="both"/>
        <w:rPr>
          <w:rFonts w:ascii="Arial" w:eastAsia="Calibri" w:hAnsi="Arial" w:cs="Arial"/>
          <w:b/>
          <w:bCs/>
          <w:sz w:val="32"/>
          <w:szCs w:val="24"/>
        </w:rPr>
      </w:pPr>
      <w:r w:rsidRPr="0084242F">
        <w:rPr>
          <w:rFonts w:ascii="Arial" w:eastAsia="Calibri" w:hAnsi="Arial" w:cs="Arial"/>
          <w:b/>
          <w:bCs/>
          <w:sz w:val="32"/>
          <w:szCs w:val="24"/>
        </w:rPr>
        <w:t xml:space="preserve">1.4 </w:t>
      </w:r>
      <w:r w:rsidR="00C64D60" w:rsidRPr="0084242F">
        <w:rPr>
          <w:rFonts w:ascii="Arial" w:eastAsia="Calibri" w:hAnsi="Arial" w:cs="Arial"/>
          <w:b/>
          <w:bCs/>
          <w:sz w:val="32"/>
          <w:szCs w:val="24"/>
        </w:rPr>
        <w:t>R</w:t>
      </w:r>
      <w:r w:rsidR="00042B59" w:rsidRPr="0084242F">
        <w:rPr>
          <w:rFonts w:ascii="Arial" w:eastAsia="Calibri" w:hAnsi="Arial" w:cs="Arial"/>
          <w:b/>
          <w:bCs/>
          <w:sz w:val="32"/>
          <w:szCs w:val="24"/>
        </w:rPr>
        <w:t>esearch &amp; Innovation</w:t>
      </w:r>
      <w:r w:rsidR="00BF45DB" w:rsidRPr="0084242F">
        <w:rPr>
          <w:rFonts w:ascii="Arial" w:eastAsia="Calibri" w:hAnsi="Arial" w:cs="Arial"/>
          <w:b/>
          <w:bCs/>
          <w:sz w:val="32"/>
          <w:szCs w:val="24"/>
        </w:rPr>
        <w:t xml:space="preserve"> </w:t>
      </w:r>
    </w:p>
    <w:p w:rsidR="00F97E17" w:rsidRPr="0084242F" w:rsidRDefault="00F97E17" w:rsidP="00AE4B3B">
      <w:pPr>
        <w:spacing w:after="0"/>
        <w:ind w:left="-426"/>
        <w:jc w:val="both"/>
        <w:rPr>
          <w:rFonts w:ascii="Arial" w:eastAsia="Calibri" w:hAnsi="Arial" w:cs="Arial"/>
          <w:b/>
          <w:bCs/>
          <w:sz w:val="28"/>
          <w:szCs w:val="28"/>
        </w:rPr>
      </w:pPr>
    </w:p>
    <w:p w:rsidR="00C468F0" w:rsidRPr="0084242F" w:rsidRDefault="00C468F0" w:rsidP="00AE4B3B">
      <w:pPr>
        <w:spacing w:after="0"/>
        <w:ind w:left="-426"/>
        <w:jc w:val="both"/>
        <w:rPr>
          <w:rFonts w:ascii="Arial" w:hAnsi="Arial" w:cs="Arial"/>
          <w:sz w:val="24"/>
          <w:lang w:eastAsia="en-GB"/>
        </w:rPr>
      </w:pPr>
      <w:r w:rsidRPr="0084242F">
        <w:rPr>
          <w:rFonts w:ascii="Arial" w:hAnsi="Arial" w:cs="Arial"/>
          <w:sz w:val="24"/>
          <w:lang w:eastAsia="en-GB"/>
        </w:rPr>
        <w:t xml:space="preserve">There is no scorecard for Research and Innovation </w:t>
      </w:r>
      <w:r w:rsidR="0084242F" w:rsidRPr="0084242F">
        <w:rPr>
          <w:rFonts w:ascii="Arial" w:hAnsi="Arial" w:cs="Arial"/>
          <w:sz w:val="24"/>
          <w:lang w:eastAsia="en-GB"/>
        </w:rPr>
        <w:t>for this month two</w:t>
      </w:r>
      <w:r w:rsidR="00C619C0" w:rsidRPr="0084242F">
        <w:rPr>
          <w:rFonts w:ascii="Arial" w:hAnsi="Arial" w:cs="Arial"/>
          <w:sz w:val="24"/>
          <w:lang w:eastAsia="en-GB"/>
        </w:rPr>
        <w:t xml:space="preserve"> report</w:t>
      </w:r>
      <w:r w:rsidR="00273BFB">
        <w:rPr>
          <w:rFonts w:ascii="Arial" w:hAnsi="Arial" w:cs="Arial"/>
          <w:sz w:val="24"/>
          <w:lang w:eastAsia="en-GB"/>
        </w:rPr>
        <w:t>. Although</w:t>
      </w:r>
      <w:r w:rsidRPr="0084242F">
        <w:rPr>
          <w:rFonts w:ascii="Arial" w:hAnsi="Arial" w:cs="Arial"/>
          <w:sz w:val="24"/>
          <w:lang w:eastAsia="en-GB"/>
        </w:rPr>
        <w:t xml:space="preserve"> patient</w:t>
      </w:r>
      <w:r w:rsidR="0085579A">
        <w:rPr>
          <w:rFonts w:ascii="Arial" w:hAnsi="Arial" w:cs="Arial"/>
          <w:sz w:val="24"/>
          <w:lang w:eastAsia="en-GB"/>
        </w:rPr>
        <w:t xml:space="preserve"> recruitment into trials has restarted at CCC, it is not yet possible to define any targets for 2020/21 as a significant proportion of our trials rely on collaboration with other NHS Trusts; including organisations </w:t>
      </w:r>
      <w:r w:rsidR="002173A4">
        <w:rPr>
          <w:rFonts w:ascii="Arial" w:hAnsi="Arial" w:cs="Arial"/>
          <w:sz w:val="24"/>
          <w:lang w:eastAsia="en-GB"/>
        </w:rPr>
        <w:t xml:space="preserve">who are not yet able to resume this role due to the </w:t>
      </w:r>
      <w:r w:rsidR="0085579A">
        <w:rPr>
          <w:rFonts w:ascii="Arial" w:hAnsi="Arial" w:cs="Arial"/>
          <w:sz w:val="24"/>
          <w:lang w:eastAsia="en-GB"/>
        </w:rPr>
        <w:t xml:space="preserve">COVID-19 </w:t>
      </w:r>
      <w:r w:rsidR="002173A4">
        <w:rPr>
          <w:rFonts w:ascii="Arial" w:hAnsi="Arial" w:cs="Arial"/>
          <w:sz w:val="24"/>
          <w:lang w:eastAsia="en-GB"/>
        </w:rPr>
        <w:t>pandemic</w:t>
      </w:r>
      <w:r w:rsidR="0085579A">
        <w:rPr>
          <w:rFonts w:ascii="Arial" w:hAnsi="Arial" w:cs="Arial"/>
          <w:sz w:val="24"/>
          <w:lang w:eastAsia="en-GB"/>
        </w:rPr>
        <w:t xml:space="preserve">. </w:t>
      </w:r>
      <w:r w:rsidRPr="0085579A">
        <w:rPr>
          <w:rFonts w:ascii="Arial" w:hAnsi="Arial" w:cs="Arial"/>
          <w:sz w:val="24"/>
        </w:rPr>
        <w:t xml:space="preserve">The draft plan and targets developed for 2020/21 will be revised once </w:t>
      </w:r>
      <w:r w:rsidR="0085579A">
        <w:rPr>
          <w:rFonts w:ascii="Arial" w:hAnsi="Arial" w:cs="Arial"/>
          <w:sz w:val="24"/>
        </w:rPr>
        <w:t>this situation changes</w:t>
      </w:r>
      <w:r w:rsidRPr="0085579A">
        <w:rPr>
          <w:rFonts w:ascii="Arial" w:hAnsi="Arial" w:cs="Arial"/>
          <w:sz w:val="24"/>
        </w:rPr>
        <w:t>.</w:t>
      </w:r>
      <w:r w:rsidRPr="0084242F">
        <w:rPr>
          <w:rFonts w:ascii="Arial" w:hAnsi="Arial" w:cs="Arial"/>
          <w:sz w:val="24"/>
        </w:rPr>
        <w:t> </w:t>
      </w:r>
    </w:p>
    <w:p w:rsidR="00BA1D8A" w:rsidRPr="0084242F" w:rsidRDefault="00BA1D8A" w:rsidP="00AE4B3B">
      <w:pPr>
        <w:autoSpaceDE w:val="0"/>
        <w:autoSpaceDN w:val="0"/>
        <w:adjustRightInd w:val="0"/>
        <w:spacing w:after="0" w:line="240" w:lineRule="auto"/>
        <w:ind w:left="-426"/>
        <w:jc w:val="both"/>
        <w:rPr>
          <w:rFonts w:ascii="Arial" w:eastAsia="Calibri" w:hAnsi="Arial" w:cs="Arial"/>
          <w:b/>
          <w:bCs/>
          <w:sz w:val="32"/>
          <w:szCs w:val="24"/>
        </w:rPr>
      </w:pPr>
    </w:p>
    <w:p w:rsidR="00230CD8" w:rsidRPr="008B348A" w:rsidRDefault="008B348A" w:rsidP="008B348A">
      <w:pPr>
        <w:autoSpaceDE w:val="0"/>
        <w:autoSpaceDN w:val="0"/>
        <w:adjustRightInd w:val="0"/>
        <w:spacing w:after="0" w:line="240" w:lineRule="auto"/>
        <w:ind w:left="-426"/>
        <w:jc w:val="both"/>
        <w:rPr>
          <w:rFonts w:ascii="Arial" w:eastAsia="Calibri" w:hAnsi="Arial" w:cs="Arial"/>
          <w:b/>
          <w:bCs/>
          <w:sz w:val="32"/>
          <w:szCs w:val="24"/>
        </w:rPr>
      </w:pPr>
      <w:r w:rsidRPr="008B348A">
        <w:rPr>
          <w:rFonts w:ascii="Arial" w:eastAsia="Calibri" w:hAnsi="Arial" w:cs="Arial"/>
          <w:b/>
          <w:bCs/>
          <w:sz w:val="32"/>
          <w:szCs w:val="24"/>
        </w:rPr>
        <w:t xml:space="preserve">1.5 </w:t>
      </w:r>
      <w:r w:rsidR="00042B59" w:rsidRPr="008B348A">
        <w:rPr>
          <w:rFonts w:ascii="Arial" w:eastAsia="Calibri" w:hAnsi="Arial" w:cs="Arial"/>
          <w:b/>
          <w:bCs/>
          <w:sz w:val="32"/>
          <w:szCs w:val="24"/>
        </w:rPr>
        <w:t>Workforce</w:t>
      </w:r>
    </w:p>
    <w:p w:rsidR="00AC7BB5" w:rsidRDefault="00AC7BB5" w:rsidP="008B348A">
      <w:pPr>
        <w:autoSpaceDE w:val="0"/>
        <w:autoSpaceDN w:val="0"/>
        <w:adjustRightInd w:val="0"/>
        <w:spacing w:after="0" w:line="240" w:lineRule="auto"/>
        <w:ind w:left="-426"/>
        <w:jc w:val="both"/>
        <w:rPr>
          <w:rFonts w:ascii="Arial" w:eastAsia="Calibri" w:hAnsi="Arial" w:cs="Arial"/>
          <w:bCs/>
          <w:sz w:val="18"/>
          <w:szCs w:val="24"/>
        </w:rPr>
      </w:pPr>
    </w:p>
    <w:p w:rsidR="00F02A25" w:rsidRDefault="00F02A25" w:rsidP="008B348A">
      <w:pPr>
        <w:autoSpaceDE w:val="0"/>
        <w:autoSpaceDN w:val="0"/>
        <w:adjustRightInd w:val="0"/>
        <w:spacing w:after="0" w:line="240" w:lineRule="auto"/>
        <w:ind w:left="-426"/>
        <w:jc w:val="both"/>
        <w:rPr>
          <w:rFonts w:ascii="Arial" w:eastAsia="Calibri" w:hAnsi="Arial" w:cs="Arial"/>
          <w:bCs/>
          <w:sz w:val="18"/>
          <w:szCs w:val="24"/>
        </w:rPr>
      </w:pPr>
      <w:r w:rsidRPr="008B348A">
        <w:rPr>
          <w:rFonts w:ascii="Arial" w:eastAsia="Calibri" w:hAnsi="Arial" w:cs="Arial"/>
          <w:bCs/>
          <w:sz w:val="18"/>
          <w:szCs w:val="24"/>
        </w:rPr>
        <w:t>Scorecard Directive Key: S = Statutory | C = Contractual | L = Local</w:t>
      </w:r>
    </w:p>
    <w:p w:rsidR="00AC7BB5" w:rsidRDefault="00AC7BB5" w:rsidP="008B348A">
      <w:pPr>
        <w:autoSpaceDE w:val="0"/>
        <w:autoSpaceDN w:val="0"/>
        <w:adjustRightInd w:val="0"/>
        <w:spacing w:after="0" w:line="240" w:lineRule="auto"/>
        <w:ind w:left="-426"/>
        <w:jc w:val="both"/>
        <w:rPr>
          <w:rFonts w:ascii="Arial" w:eastAsia="Calibri" w:hAnsi="Arial" w:cs="Arial"/>
          <w:bCs/>
          <w:sz w:val="18"/>
          <w:szCs w:val="24"/>
        </w:rPr>
      </w:pPr>
    </w:p>
    <w:p w:rsidR="00C434FA" w:rsidRDefault="00C434FA" w:rsidP="008B348A">
      <w:pPr>
        <w:autoSpaceDE w:val="0"/>
        <w:autoSpaceDN w:val="0"/>
        <w:adjustRightInd w:val="0"/>
        <w:spacing w:after="0" w:line="240" w:lineRule="auto"/>
        <w:ind w:left="-426"/>
        <w:jc w:val="both"/>
        <w:rPr>
          <w:rFonts w:ascii="Arial" w:eastAsia="Calibri" w:hAnsi="Arial" w:cs="Arial"/>
          <w:bCs/>
          <w:sz w:val="18"/>
          <w:szCs w:val="24"/>
        </w:rPr>
      </w:pPr>
      <w:r w:rsidRPr="00C434FA">
        <w:rPr>
          <w:noProof/>
          <w:lang w:eastAsia="en-GB"/>
        </w:rPr>
        <w:drawing>
          <wp:inline distT="0" distB="0" distL="0" distR="0" wp14:anchorId="3679153F" wp14:editId="5E30F0AB">
            <wp:extent cx="6210300" cy="2105508"/>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210300" cy="2105508"/>
                    </a:xfrm>
                    <a:prstGeom prst="rect">
                      <a:avLst/>
                    </a:prstGeom>
                    <a:noFill/>
                    <a:ln>
                      <a:noFill/>
                    </a:ln>
                  </pic:spPr>
                </pic:pic>
              </a:graphicData>
            </a:graphic>
          </wp:inline>
        </w:drawing>
      </w:r>
    </w:p>
    <w:p w:rsidR="00C434FA" w:rsidRDefault="00C434FA" w:rsidP="008B348A">
      <w:pPr>
        <w:autoSpaceDE w:val="0"/>
        <w:autoSpaceDN w:val="0"/>
        <w:adjustRightInd w:val="0"/>
        <w:spacing w:after="0" w:line="240" w:lineRule="auto"/>
        <w:ind w:left="-426"/>
        <w:jc w:val="both"/>
        <w:rPr>
          <w:rFonts w:ascii="Arial" w:eastAsia="Calibri" w:hAnsi="Arial" w:cs="Arial"/>
          <w:bCs/>
          <w:sz w:val="18"/>
          <w:szCs w:val="24"/>
        </w:rPr>
      </w:pPr>
    </w:p>
    <w:p w:rsidR="00EA7CAB" w:rsidRPr="00EC19F3" w:rsidRDefault="00EA7CAB" w:rsidP="00AE4B3B">
      <w:pPr>
        <w:autoSpaceDE w:val="0"/>
        <w:autoSpaceDN w:val="0"/>
        <w:adjustRightInd w:val="0"/>
        <w:spacing w:after="0" w:line="240" w:lineRule="auto"/>
        <w:ind w:left="-426"/>
        <w:jc w:val="both"/>
        <w:rPr>
          <w:rFonts w:ascii="Arial" w:eastAsia="Calibri" w:hAnsi="Arial" w:cs="Arial"/>
          <w:b/>
          <w:bCs/>
          <w:sz w:val="32"/>
          <w:szCs w:val="24"/>
          <w:highlight w:val="yellow"/>
        </w:rPr>
      </w:pPr>
    </w:p>
    <w:p w:rsidR="00803E17" w:rsidRDefault="00097A70" w:rsidP="00803E17">
      <w:pPr>
        <w:autoSpaceDE w:val="0"/>
        <w:autoSpaceDN w:val="0"/>
        <w:adjustRightInd w:val="0"/>
        <w:spacing w:after="0" w:line="240" w:lineRule="auto"/>
        <w:ind w:left="-426"/>
        <w:jc w:val="both"/>
        <w:rPr>
          <w:rFonts w:ascii="Arial" w:eastAsia="Calibri" w:hAnsi="Arial" w:cs="Arial"/>
          <w:b/>
          <w:bCs/>
          <w:sz w:val="32"/>
          <w:szCs w:val="24"/>
        </w:rPr>
      </w:pPr>
      <w:r w:rsidRPr="0085699D">
        <w:rPr>
          <w:rFonts w:ascii="Arial" w:eastAsia="Calibri" w:hAnsi="Arial" w:cs="Arial"/>
          <w:b/>
          <w:bCs/>
          <w:sz w:val="32"/>
          <w:szCs w:val="24"/>
        </w:rPr>
        <w:t xml:space="preserve">1.6 </w:t>
      </w:r>
      <w:r w:rsidR="003B2AE0" w:rsidRPr="0085699D">
        <w:rPr>
          <w:rFonts w:ascii="Arial" w:eastAsia="Calibri" w:hAnsi="Arial" w:cs="Arial"/>
          <w:b/>
          <w:bCs/>
          <w:sz w:val="32"/>
          <w:szCs w:val="24"/>
        </w:rPr>
        <w:t>Finance</w:t>
      </w:r>
      <w:r w:rsidR="00C64D60" w:rsidRPr="0085699D">
        <w:rPr>
          <w:rFonts w:ascii="Arial" w:eastAsia="Calibri" w:hAnsi="Arial" w:cs="Arial"/>
          <w:b/>
          <w:bCs/>
          <w:sz w:val="32"/>
          <w:szCs w:val="24"/>
        </w:rPr>
        <w:t xml:space="preserve"> </w:t>
      </w:r>
    </w:p>
    <w:p w:rsidR="00803E17" w:rsidRDefault="00803E17" w:rsidP="00803E17">
      <w:pPr>
        <w:spacing w:after="0" w:line="240" w:lineRule="auto"/>
        <w:rPr>
          <w:rFonts w:ascii="Arial" w:hAnsi="Arial" w:cs="Arial"/>
          <w:sz w:val="24"/>
          <w:szCs w:val="24"/>
        </w:rPr>
      </w:pPr>
    </w:p>
    <w:p w:rsidR="00EE0ACF" w:rsidRPr="00803E17" w:rsidRDefault="00EE0ACF" w:rsidP="00803E17">
      <w:pPr>
        <w:spacing w:after="0" w:line="240" w:lineRule="auto"/>
        <w:rPr>
          <w:rFonts w:ascii="Arial" w:hAnsi="Arial" w:cs="Arial"/>
          <w:sz w:val="24"/>
          <w:szCs w:val="24"/>
        </w:rPr>
      </w:pPr>
    </w:p>
    <w:p w:rsidR="0018384D" w:rsidRPr="00EC19F3" w:rsidRDefault="00803E17" w:rsidP="00F40320">
      <w:pPr>
        <w:pStyle w:val="ListParagraph"/>
        <w:ind w:left="-426"/>
        <w:jc w:val="both"/>
        <w:rPr>
          <w:rFonts w:ascii="Arial" w:eastAsia="Calibri" w:hAnsi="Arial" w:cs="Arial"/>
          <w:bCs/>
          <w:sz w:val="24"/>
          <w:szCs w:val="24"/>
          <w:highlight w:val="yellow"/>
        </w:rPr>
      </w:pPr>
      <w:r w:rsidRPr="00803E17">
        <w:rPr>
          <w:rFonts w:ascii="Arial" w:hAnsi="Arial" w:cs="Arial"/>
          <w:sz w:val="24"/>
          <w:szCs w:val="24"/>
        </w:rPr>
        <w:t>The Month 2 Finance information is not yet available.</w:t>
      </w:r>
      <w:r w:rsidR="0018384D" w:rsidRPr="00EC19F3">
        <w:rPr>
          <w:rFonts w:ascii="Arial" w:eastAsia="Calibri" w:hAnsi="Arial" w:cs="Arial"/>
          <w:bCs/>
          <w:sz w:val="24"/>
          <w:szCs w:val="24"/>
          <w:highlight w:val="yellow"/>
        </w:rPr>
        <w:br w:type="page"/>
      </w:r>
    </w:p>
    <w:tbl>
      <w:tblPr>
        <w:tblW w:w="10122" w:type="dxa"/>
        <w:tblInd w:w="-318" w:type="dxa"/>
        <w:shd w:val="clear" w:color="auto" w:fill="006A71"/>
        <w:tblLook w:val="04A0" w:firstRow="1" w:lastRow="0" w:firstColumn="1" w:lastColumn="0" w:noHBand="0" w:noVBand="1"/>
      </w:tblPr>
      <w:tblGrid>
        <w:gridCol w:w="10122"/>
      </w:tblGrid>
      <w:tr w:rsidR="00905D2D" w:rsidRPr="00AE798A" w:rsidTr="00803E17">
        <w:trPr>
          <w:trHeight w:hRule="exact" w:val="609"/>
        </w:trPr>
        <w:tc>
          <w:tcPr>
            <w:tcW w:w="10122" w:type="dxa"/>
            <w:shd w:val="clear" w:color="auto" w:fill="006A71"/>
          </w:tcPr>
          <w:p w:rsidR="00905D2D" w:rsidRPr="00AE798A" w:rsidRDefault="00905D2D" w:rsidP="00B63E9C">
            <w:pPr>
              <w:ind w:right="-936"/>
              <w:rPr>
                <w:rFonts w:ascii="Arial" w:hAnsi="Arial" w:cs="Arial"/>
                <w:b/>
                <w:color w:val="FFFFFF" w:themeColor="background1"/>
                <w:sz w:val="44"/>
              </w:rPr>
            </w:pPr>
            <w:r w:rsidRPr="00AE798A">
              <w:rPr>
                <w:rFonts w:ascii="Arial" w:eastAsia="Calibri" w:hAnsi="Arial" w:cs="Arial"/>
                <w:b/>
                <w:bCs/>
                <w:color w:val="FFFFFF" w:themeColor="background1"/>
                <w:sz w:val="28"/>
                <w:szCs w:val="24"/>
              </w:rPr>
              <w:lastRenderedPageBreak/>
              <w:br w:type="page"/>
            </w:r>
            <w:r w:rsidRPr="00AE798A">
              <w:rPr>
                <w:rFonts w:ascii="Arial" w:hAnsi="Arial" w:cs="Arial"/>
                <w:b/>
                <w:color w:val="FFFFFF" w:themeColor="background1"/>
                <w:sz w:val="44"/>
              </w:rPr>
              <w:t xml:space="preserve">2. Exception Reports </w:t>
            </w:r>
          </w:p>
        </w:tc>
      </w:tr>
    </w:tbl>
    <w:p w:rsidR="00905D2D" w:rsidRPr="00103278" w:rsidRDefault="00905D2D" w:rsidP="00905D2D">
      <w:pPr>
        <w:spacing w:after="0"/>
        <w:ind w:left="-426"/>
        <w:rPr>
          <w:rFonts w:ascii="Arial" w:hAnsi="Arial" w:cs="Arial"/>
          <w:b/>
          <w:sz w:val="28"/>
          <w:szCs w:val="28"/>
        </w:rPr>
      </w:pPr>
    </w:p>
    <w:p w:rsidR="00B87F1A" w:rsidRPr="00D10A59" w:rsidRDefault="00B87F1A" w:rsidP="00B87F1A">
      <w:pPr>
        <w:spacing w:after="0" w:line="240" w:lineRule="auto"/>
        <w:ind w:left="-426"/>
        <w:jc w:val="both"/>
        <w:rPr>
          <w:rFonts w:ascii="Arial" w:eastAsia="Calibri" w:hAnsi="Arial" w:cs="Arial"/>
          <w:b/>
          <w:bCs/>
          <w:sz w:val="32"/>
          <w:szCs w:val="24"/>
        </w:rPr>
      </w:pPr>
      <w:r>
        <w:rPr>
          <w:rFonts w:ascii="Arial" w:eastAsia="Calibri" w:hAnsi="Arial" w:cs="Arial"/>
          <w:b/>
          <w:bCs/>
          <w:sz w:val="32"/>
          <w:szCs w:val="24"/>
        </w:rPr>
        <w:t xml:space="preserve">2.1 </w:t>
      </w:r>
      <w:r w:rsidRPr="00D10A59">
        <w:rPr>
          <w:rFonts w:ascii="Arial" w:eastAsia="Calibri" w:hAnsi="Arial" w:cs="Arial"/>
          <w:b/>
          <w:bCs/>
          <w:sz w:val="32"/>
          <w:szCs w:val="24"/>
        </w:rPr>
        <w:t>Access</w:t>
      </w:r>
    </w:p>
    <w:p w:rsidR="00B87F1A" w:rsidRPr="00103278" w:rsidRDefault="00B87F1A" w:rsidP="00B87F1A">
      <w:pPr>
        <w:spacing w:after="0" w:line="240" w:lineRule="auto"/>
        <w:ind w:left="-426"/>
        <w:jc w:val="both"/>
        <w:rPr>
          <w:rFonts w:ascii="Arial" w:eastAsia="Calibri" w:hAnsi="Arial" w:cs="Arial"/>
          <w:bCs/>
          <w:sz w:val="28"/>
          <w:szCs w:val="28"/>
        </w:rPr>
      </w:pPr>
    </w:p>
    <w:tbl>
      <w:tblPr>
        <w:tblW w:w="10198" w:type="dxa"/>
        <w:tblInd w:w="-318" w:type="dxa"/>
        <w:tblLayout w:type="fixed"/>
        <w:tblCellMar>
          <w:left w:w="113" w:type="dxa"/>
          <w:right w:w="0" w:type="dxa"/>
        </w:tblCellMar>
        <w:tblLook w:val="04A0" w:firstRow="1" w:lastRow="0" w:firstColumn="1" w:lastColumn="0" w:noHBand="0" w:noVBand="1"/>
      </w:tblPr>
      <w:tblGrid>
        <w:gridCol w:w="3261"/>
        <w:gridCol w:w="1843"/>
        <w:gridCol w:w="992"/>
        <w:gridCol w:w="851"/>
        <w:gridCol w:w="850"/>
        <w:gridCol w:w="2251"/>
        <w:gridCol w:w="17"/>
        <w:gridCol w:w="133"/>
      </w:tblGrid>
      <w:tr w:rsidR="00C00C77" w:rsidRPr="00C00C77" w:rsidTr="003574DD">
        <w:trPr>
          <w:gridAfter w:val="1"/>
          <w:wAfter w:w="133" w:type="dxa"/>
          <w:trHeight w:hRule="exact" w:val="340"/>
        </w:trPr>
        <w:tc>
          <w:tcPr>
            <w:tcW w:w="5104" w:type="dxa"/>
            <w:gridSpan w:val="2"/>
            <w:vMerge w:val="restart"/>
            <w:tcBorders>
              <w:top w:val="single" w:sz="8" w:space="0" w:color="808080"/>
              <w:left w:val="single" w:sz="8" w:space="0" w:color="808080"/>
              <w:right w:val="single" w:sz="8" w:space="0" w:color="808080"/>
            </w:tcBorders>
            <w:shd w:val="clear" w:color="auto" w:fill="4F81BD"/>
            <w:tcMar>
              <w:top w:w="0" w:type="dxa"/>
              <w:left w:w="108" w:type="dxa"/>
              <w:bottom w:w="0" w:type="dxa"/>
              <w:right w:w="108" w:type="dxa"/>
            </w:tcMar>
            <w:vAlign w:val="center"/>
            <w:hideMark/>
          </w:tcPr>
          <w:p w:rsidR="00C00C77" w:rsidRPr="00C00C77" w:rsidRDefault="00C00C77" w:rsidP="003574DD">
            <w:pPr>
              <w:spacing w:after="0" w:line="240" w:lineRule="auto"/>
              <w:rPr>
                <w:rFonts w:ascii="Arial" w:hAnsi="Arial" w:cs="Arial"/>
                <w:b/>
                <w:bCs/>
                <w:color w:val="FFFFFF" w:themeColor="background1"/>
                <w:sz w:val="24"/>
                <w:szCs w:val="24"/>
                <w:lang w:val="en-US"/>
              </w:rPr>
            </w:pPr>
            <w:r w:rsidRPr="00803E17">
              <w:rPr>
                <w:rFonts w:ascii="Arial" w:hAnsi="Arial" w:cs="Arial"/>
                <w:b/>
                <w:bCs/>
                <w:color w:val="FFFFFF" w:themeColor="background1"/>
                <w:sz w:val="24"/>
                <w:lang w:val="en-US"/>
              </w:rPr>
              <w:t>24 days from referral to first treatment</w:t>
            </w:r>
          </w:p>
        </w:tc>
        <w:tc>
          <w:tcPr>
            <w:tcW w:w="992" w:type="dxa"/>
            <w:tcBorders>
              <w:top w:val="single" w:sz="8" w:space="0" w:color="808080"/>
              <w:left w:val="single" w:sz="8" w:space="0" w:color="808080"/>
              <w:bottom w:val="single" w:sz="8" w:space="0" w:color="808080"/>
              <w:right w:val="single" w:sz="8" w:space="0" w:color="808080"/>
            </w:tcBorders>
            <w:shd w:val="clear" w:color="auto" w:fill="auto"/>
            <w:vAlign w:val="center"/>
          </w:tcPr>
          <w:p w:rsidR="00C00C77" w:rsidRPr="00C00C77" w:rsidRDefault="00C00C77" w:rsidP="003574DD">
            <w:pPr>
              <w:spacing w:after="0" w:line="240" w:lineRule="auto"/>
              <w:jc w:val="center"/>
              <w:rPr>
                <w:rFonts w:ascii="Arial" w:hAnsi="Arial" w:cs="Arial"/>
                <w:b/>
                <w:bCs/>
                <w:sz w:val="20"/>
                <w:szCs w:val="20"/>
                <w:lang w:val="en-US"/>
              </w:rPr>
            </w:pPr>
            <w:r w:rsidRPr="00C00C77">
              <w:rPr>
                <w:rFonts w:ascii="Arial" w:hAnsi="Arial" w:cs="Arial"/>
                <w:b/>
                <w:bCs/>
                <w:sz w:val="20"/>
                <w:szCs w:val="20"/>
                <w:lang w:val="en-US"/>
              </w:rPr>
              <w:t>Target</w:t>
            </w:r>
          </w:p>
        </w:tc>
        <w:tc>
          <w:tcPr>
            <w:tcW w:w="851" w:type="dxa"/>
            <w:tcBorders>
              <w:top w:val="single" w:sz="8" w:space="0" w:color="808080"/>
              <w:left w:val="nil"/>
              <w:bottom w:val="single" w:sz="8" w:space="0" w:color="808080"/>
              <w:right w:val="single" w:sz="8" w:space="0" w:color="808080"/>
            </w:tcBorders>
            <w:vAlign w:val="center"/>
            <w:hideMark/>
          </w:tcPr>
          <w:p w:rsidR="00C00C77" w:rsidRPr="00C00C77" w:rsidRDefault="00C00C77" w:rsidP="003574DD">
            <w:pPr>
              <w:spacing w:after="0" w:line="240" w:lineRule="auto"/>
              <w:jc w:val="center"/>
              <w:rPr>
                <w:rFonts w:ascii="Arial" w:hAnsi="Arial" w:cs="Arial"/>
                <w:b/>
                <w:bCs/>
                <w:sz w:val="20"/>
                <w:szCs w:val="20"/>
                <w:lang w:val="en-US"/>
              </w:rPr>
            </w:pPr>
            <w:r w:rsidRPr="00C00C77">
              <w:rPr>
                <w:rFonts w:ascii="Arial" w:hAnsi="Arial" w:cs="Arial"/>
                <w:b/>
                <w:bCs/>
                <w:sz w:val="20"/>
                <w:szCs w:val="20"/>
                <w:lang w:val="en-US"/>
              </w:rPr>
              <w:t>May 20</w:t>
            </w:r>
          </w:p>
        </w:tc>
        <w:tc>
          <w:tcPr>
            <w:tcW w:w="850" w:type="dxa"/>
            <w:tcBorders>
              <w:top w:val="single" w:sz="8" w:space="0" w:color="808080"/>
              <w:left w:val="nil"/>
              <w:bottom w:val="single" w:sz="8" w:space="0" w:color="808080"/>
              <w:right w:val="single" w:sz="8" w:space="0" w:color="808080"/>
            </w:tcBorders>
            <w:vAlign w:val="center"/>
            <w:hideMark/>
          </w:tcPr>
          <w:p w:rsidR="00C00C77" w:rsidRPr="00C00C77" w:rsidRDefault="00C00C77" w:rsidP="003574DD">
            <w:pPr>
              <w:spacing w:after="0" w:line="240" w:lineRule="auto"/>
              <w:jc w:val="center"/>
              <w:rPr>
                <w:rFonts w:ascii="Arial" w:hAnsi="Arial" w:cs="Arial"/>
                <w:b/>
                <w:bCs/>
                <w:sz w:val="20"/>
                <w:szCs w:val="20"/>
                <w:lang w:val="en-US"/>
              </w:rPr>
            </w:pPr>
            <w:r w:rsidRPr="00C00C77">
              <w:rPr>
                <w:rFonts w:ascii="Arial" w:hAnsi="Arial" w:cs="Arial"/>
                <w:b/>
                <w:bCs/>
                <w:sz w:val="20"/>
                <w:szCs w:val="20"/>
                <w:lang w:val="en-US"/>
              </w:rPr>
              <w:t>YTD</w:t>
            </w:r>
          </w:p>
        </w:tc>
        <w:tc>
          <w:tcPr>
            <w:tcW w:w="2268" w:type="dxa"/>
            <w:gridSpan w:val="2"/>
            <w:tcBorders>
              <w:top w:val="single" w:sz="8" w:space="0" w:color="808080"/>
              <w:left w:val="nil"/>
              <w:bottom w:val="single" w:sz="8" w:space="0" w:color="808080"/>
              <w:right w:val="single" w:sz="8" w:space="0" w:color="808080"/>
            </w:tcBorders>
            <w:vAlign w:val="center"/>
            <w:hideMark/>
          </w:tcPr>
          <w:p w:rsidR="00C00C77" w:rsidRPr="00C00C77" w:rsidRDefault="00C00C77" w:rsidP="003574DD">
            <w:pPr>
              <w:spacing w:after="0" w:line="240" w:lineRule="auto"/>
              <w:jc w:val="center"/>
              <w:rPr>
                <w:rFonts w:ascii="Arial" w:hAnsi="Arial" w:cs="Arial"/>
                <w:b/>
                <w:bCs/>
                <w:sz w:val="16"/>
                <w:szCs w:val="18"/>
                <w:lang w:val="en-US"/>
              </w:rPr>
            </w:pPr>
            <w:r w:rsidRPr="00C00C77">
              <w:rPr>
                <w:rFonts w:ascii="Arial" w:hAnsi="Arial" w:cs="Arial"/>
                <w:b/>
                <w:bCs/>
                <w:sz w:val="16"/>
                <w:szCs w:val="18"/>
                <w:lang w:val="en-US"/>
              </w:rPr>
              <w:t>12 month trend</w:t>
            </w:r>
          </w:p>
        </w:tc>
      </w:tr>
      <w:tr w:rsidR="00C00C77" w:rsidRPr="00C00C77" w:rsidTr="003574DD">
        <w:trPr>
          <w:gridAfter w:val="1"/>
          <w:wAfter w:w="133" w:type="dxa"/>
          <w:trHeight w:hRule="exact" w:val="431"/>
        </w:trPr>
        <w:tc>
          <w:tcPr>
            <w:tcW w:w="5104" w:type="dxa"/>
            <w:gridSpan w:val="2"/>
            <w:vMerge/>
            <w:tcBorders>
              <w:left w:val="single" w:sz="8" w:space="0" w:color="808080"/>
              <w:bottom w:val="single" w:sz="8" w:space="0" w:color="808080"/>
              <w:right w:val="single" w:sz="8" w:space="0" w:color="808080"/>
            </w:tcBorders>
            <w:vAlign w:val="center"/>
          </w:tcPr>
          <w:p w:rsidR="00C00C77" w:rsidRPr="00C00C77" w:rsidRDefault="00C00C77" w:rsidP="00C00C77">
            <w:pPr>
              <w:rPr>
                <w:rFonts w:ascii="Arial" w:hAnsi="Arial" w:cs="Arial"/>
                <w:b/>
                <w:bCs/>
                <w:sz w:val="24"/>
                <w:szCs w:val="24"/>
                <w:lang w:val="en-US"/>
              </w:rPr>
            </w:pPr>
          </w:p>
        </w:tc>
        <w:tc>
          <w:tcPr>
            <w:tcW w:w="992" w:type="dxa"/>
            <w:tcBorders>
              <w:top w:val="single" w:sz="8" w:space="0" w:color="808080"/>
              <w:left w:val="single" w:sz="8" w:space="0" w:color="808080"/>
              <w:bottom w:val="single" w:sz="8" w:space="0" w:color="808080"/>
              <w:right w:val="single" w:sz="8" w:space="0" w:color="808080"/>
            </w:tcBorders>
            <w:vAlign w:val="center"/>
          </w:tcPr>
          <w:p w:rsidR="00C00C77" w:rsidRPr="00C00C77" w:rsidRDefault="002173A4" w:rsidP="003574DD">
            <w:pPr>
              <w:spacing w:after="0" w:line="240" w:lineRule="auto"/>
              <w:jc w:val="center"/>
              <w:rPr>
                <w:rFonts w:ascii="Arial" w:hAnsi="Arial" w:cs="Arial"/>
                <w:lang w:val="en-US"/>
              </w:rPr>
            </w:pPr>
            <w:r>
              <w:rPr>
                <w:rFonts w:ascii="Arial" w:hAnsi="Arial" w:cs="Arial"/>
                <w:lang w:val="en-US"/>
              </w:rPr>
              <w:t>85</w:t>
            </w:r>
            <w:r w:rsidR="00C00C77" w:rsidRPr="00C00C77">
              <w:rPr>
                <w:rFonts w:ascii="Arial" w:hAnsi="Arial" w:cs="Arial"/>
                <w:lang w:val="en-US"/>
              </w:rPr>
              <w:t>%</w:t>
            </w:r>
          </w:p>
        </w:tc>
        <w:tc>
          <w:tcPr>
            <w:tcW w:w="851" w:type="dxa"/>
            <w:tcBorders>
              <w:top w:val="single" w:sz="8" w:space="0" w:color="808080"/>
              <w:left w:val="nil"/>
              <w:bottom w:val="single" w:sz="8" w:space="0" w:color="808080"/>
              <w:right w:val="single" w:sz="8" w:space="0" w:color="808080"/>
            </w:tcBorders>
            <w:shd w:val="clear" w:color="auto" w:fill="FF0000"/>
            <w:vAlign w:val="center"/>
          </w:tcPr>
          <w:p w:rsidR="00C00C77" w:rsidRPr="00C00C77" w:rsidRDefault="008A3D9C" w:rsidP="003574DD">
            <w:pPr>
              <w:spacing w:after="0" w:line="240" w:lineRule="auto"/>
              <w:jc w:val="center"/>
              <w:rPr>
                <w:rFonts w:ascii="Arial" w:hAnsi="Arial" w:cs="Arial"/>
                <w:color w:val="FFFFFF" w:themeColor="background1"/>
                <w:lang w:val="en-US"/>
              </w:rPr>
            </w:pPr>
            <w:r>
              <w:rPr>
                <w:rFonts w:ascii="Arial" w:hAnsi="Arial" w:cs="Arial"/>
                <w:color w:val="FFFFFF" w:themeColor="background1"/>
                <w:lang w:val="en-US"/>
              </w:rPr>
              <w:t>80.9</w:t>
            </w:r>
            <w:r w:rsidR="00C00C77" w:rsidRPr="00C00C77">
              <w:rPr>
                <w:rFonts w:ascii="Arial" w:hAnsi="Arial" w:cs="Arial"/>
                <w:color w:val="FFFFFF" w:themeColor="background1"/>
                <w:lang w:val="en-US"/>
              </w:rPr>
              <w:t>%</w:t>
            </w:r>
          </w:p>
        </w:tc>
        <w:tc>
          <w:tcPr>
            <w:tcW w:w="850" w:type="dxa"/>
            <w:tcBorders>
              <w:top w:val="single" w:sz="8" w:space="0" w:color="808080"/>
              <w:left w:val="nil"/>
              <w:bottom w:val="single" w:sz="8" w:space="0" w:color="808080"/>
              <w:right w:val="single" w:sz="8" w:space="0" w:color="808080"/>
            </w:tcBorders>
            <w:shd w:val="clear" w:color="auto" w:fill="FF0000"/>
            <w:vAlign w:val="center"/>
          </w:tcPr>
          <w:p w:rsidR="00C00C77" w:rsidRPr="00C00C77" w:rsidRDefault="002173A4" w:rsidP="003574DD">
            <w:pPr>
              <w:spacing w:after="0" w:line="240" w:lineRule="auto"/>
              <w:jc w:val="center"/>
              <w:rPr>
                <w:rFonts w:ascii="Arial" w:hAnsi="Arial" w:cs="Arial"/>
                <w:color w:val="FFFFFF" w:themeColor="background1"/>
                <w:lang w:val="en-US"/>
              </w:rPr>
            </w:pPr>
            <w:r>
              <w:rPr>
                <w:rFonts w:ascii="Arial" w:hAnsi="Arial" w:cs="Arial"/>
                <w:color w:val="FFFFFF" w:themeColor="background1"/>
                <w:lang w:val="en-US"/>
              </w:rPr>
              <w:t>74.6</w:t>
            </w:r>
            <w:r w:rsidR="00C00C77" w:rsidRPr="00C00C77">
              <w:rPr>
                <w:rFonts w:ascii="Arial" w:hAnsi="Arial" w:cs="Arial"/>
                <w:color w:val="FFFFFF" w:themeColor="background1"/>
                <w:lang w:val="en-US"/>
              </w:rPr>
              <w:t>%</w:t>
            </w:r>
          </w:p>
        </w:tc>
        <w:tc>
          <w:tcPr>
            <w:tcW w:w="2268" w:type="dxa"/>
            <w:gridSpan w:val="2"/>
            <w:tcBorders>
              <w:top w:val="nil"/>
              <w:left w:val="nil"/>
              <w:bottom w:val="single" w:sz="8" w:space="0" w:color="808080"/>
              <w:right w:val="single" w:sz="8" w:space="0" w:color="808080"/>
            </w:tcBorders>
            <w:shd w:val="clear" w:color="auto" w:fill="FFFFFF"/>
            <w:vAlign w:val="bottom"/>
          </w:tcPr>
          <w:p w:rsidR="00C00C77" w:rsidRPr="00C00C77" w:rsidRDefault="00C00C77" w:rsidP="00C00C77">
            <w:pPr>
              <w:jc w:val="center"/>
              <w:rPr>
                <w:rFonts w:ascii="Calibri" w:hAnsi="Calibri" w:cs="Calibri"/>
                <w:b/>
                <w:bCs/>
                <w:color w:val="FFFFFF"/>
                <w:sz w:val="16"/>
                <w:szCs w:val="16"/>
              </w:rPr>
            </w:pPr>
            <w:r>
              <w:rPr>
                <w:rFonts w:ascii="Calibri" w:hAnsi="Calibri" w:cs="Calibri"/>
                <w:b/>
                <w:bCs/>
                <w:noProof/>
                <w:color w:val="FFFFFF"/>
                <w:sz w:val="16"/>
                <w:szCs w:val="16"/>
                <w:lang w:eastAsia="en-GB"/>
              </w:rPr>
              <w:drawing>
                <wp:inline distT="0" distB="0" distL="0" distR="0" wp14:anchorId="539D1902" wp14:editId="4CD53D37">
                  <wp:extent cx="1225550" cy="220085"/>
                  <wp:effectExtent l="0" t="0" r="0" b="889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23461" cy="219710"/>
                          </a:xfrm>
                          <a:prstGeom prst="rect">
                            <a:avLst/>
                          </a:prstGeom>
                          <a:noFill/>
                        </pic:spPr>
                      </pic:pic>
                    </a:graphicData>
                  </a:graphic>
                </wp:inline>
              </w:drawing>
            </w:r>
          </w:p>
        </w:tc>
      </w:tr>
      <w:tr w:rsidR="00C00C77" w:rsidRPr="00C00C77" w:rsidTr="00AC7BB5">
        <w:trPr>
          <w:gridAfter w:val="2"/>
          <w:wAfter w:w="150" w:type="dxa"/>
          <w:trHeight w:val="1393"/>
        </w:trPr>
        <w:tc>
          <w:tcPr>
            <w:tcW w:w="10048" w:type="dxa"/>
            <w:gridSpan w:val="6"/>
            <w:tcBorders>
              <w:top w:val="nil"/>
              <w:left w:val="single" w:sz="8" w:space="0" w:color="808080"/>
              <w:bottom w:val="single" w:sz="8" w:space="0" w:color="808080"/>
              <w:right w:val="single" w:sz="8" w:space="0" w:color="808080"/>
            </w:tcBorders>
            <w:tcMar>
              <w:top w:w="0" w:type="dxa"/>
              <w:left w:w="108" w:type="dxa"/>
              <w:bottom w:w="0" w:type="dxa"/>
              <w:right w:w="108" w:type="dxa"/>
            </w:tcMar>
            <w:hideMark/>
          </w:tcPr>
          <w:p w:rsidR="00C00C77" w:rsidRPr="00803E17" w:rsidRDefault="00C00C77" w:rsidP="003574DD">
            <w:pPr>
              <w:spacing w:before="60" w:after="60"/>
              <w:jc w:val="both"/>
              <w:rPr>
                <w:rFonts w:ascii="Arial" w:hAnsi="Arial" w:cs="Arial"/>
                <w:b/>
                <w:bCs/>
                <w:sz w:val="24"/>
                <w:lang w:val="en-US" w:eastAsia="en-GB"/>
              </w:rPr>
            </w:pPr>
            <w:r w:rsidRPr="00803E17">
              <w:rPr>
                <w:rFonts w:ascii="Arial" w:hAnsi="Arial" w:cs="Arial"/>
                <w:b/>
                <w:bCs/>
                <w:sz w:val="24"/>
                <w:lang w:val="en-US" w:eastAsia="en-GB"/>
              </w:rPr>
              <w:t>Reason for non-compliance</w:t>
            </w:r>
          </w:p>
          <w:p w:rsidR="00550FB8" w:rsidRPr="00803E17" w:rsidRDefault="00550FB8" w:rsidP="00103278">
            <w:pPr>
              <w:spacing w:after="120" w:line="240" w:lineRule="auto"/>
              <w:jc w:val="both"/>
              <w:rPr>
                <w:rFonts w:ascii="Arial" w:hAnsi="Arial" w:cs="Arial"/>
                <w:bCs/>
                <w:sz w:val="24"/>
                <w:lang w:val="en-US" w:eastAsia="en-GB"/>
              </w:rPr>
            </w:pPr>
            <w:r w:rsidRPr="00803E17">
              <w:rPr>
                <w:rFonts w:ascii="Arial" w:hAnsi="Arial" w:cs="Arial"/>
                <w:bCs/>
                <w:sz w:val="24"/>
                <w:lang w:val="en-US" w:eastAsia="en-GB"/>
              </w:rPr>
              <w:t>There were 13 br</w:t>
            </w:r>
            <w:r w:rsidR="003802F1" w:rsidRPr="00803E17">
              <w:rPr>
                <w:rFonts w:ascii="Arial" w:hAnsi="Arial" w:cs="Arial"/>
                <w:bCs/>
                <w:sz w:val="24"/>
                <w:lang w:val="en-US" w:eastAsia="en-GB"/>
              </w:rPr>
              <w:t>eaches of the 24 day target, 2</w:t>
            </w:r>
            <w:r w:rsidRPr="00803E17">
              <w:rPr>
                <w:rFonts w:ascii="Arial" w:hAnsi="Arial" w:cs="Arial"/>
                <w:bCs/>
                <w:sz w:val="24"/>
                <w:lang w:val="en-US" w:eastAsia="en-GB"/>
              </w:rPr>
              <w:t xml:space="preserve"> chemotherapy patients (including 1 HO patient) and </w:t>
            </w:r>
            <w:r w:rsidR="003802F1" w:rsidRPr="00803E17">
              <w:rPr>
                <w:rFonts w:ascii="Arial" w:hAnsi="Arial" w:cs="Arial"/>
                <w:bCs/>
                <w:sz w:val="24"/>
                <w:lang w:val="en-US" w:eastAsia="en-GB"/>
              </w:rPr>
              <w:t>11</w:t>
            </w:r>
            <w:r w:rsidRPr="00803E17">
              <w:rPr>
                <w:rFonts w:ascii="Arial" w:hAnsi="Arial" w:cs="Arial"/>
                <w:bCs/>
                <w:sz w:val="24"/>
                <w:lang w:val="en-US" w:eastAsia="en-GB"/>
              </w:rPr>
              <w:t xml:space="preserve"> radiotherapy patients</w:t>
            </w:r>
            <w:r w:rsidR="003802F1" w:rsidRPr="00803E17">
              <w:rPr>
                <w:rFonts w:ascii="Arial" w:hAnsi="Arial" w:cs="Arial"/>
                <w:bCs/>
                <w:sz w:val="24"/>
                <w:lang w:val="en-US" w:eastAsia="en-GB"/>
              </w:rPr>
              <w:t>. 5</w:t>
            </w:r>
            <w:r w:rsidRPr="00803E17">
              <w:rPr>
                <w:rFonts w:ascii="Arial" w:hAnsi="Arial" w:cs="Arial"/>
                <w:bCs/>
                <w:sz w:val="24"/>
                <w:lang w:val="en-US" w:eastAsia="en-GB"/>
              </w:rPr>
              <w:t xml:space="preserve"> of the</w:t>
            </w:r>
            <w:r w:rsidR="003802F1" w:rsidRPr="00803E17">
              <w:rPr>
                <w:rFonts w:ascii="Arial" w:hAnsi="Arial" w:cs="Arial"/>
                <w:bCs/>
                <w:sz w:val="24"/>
                <w:lang w:val="en-US" w:eastAsia="en-GB"/>
              </w:rPr>
              <w:t xml:space="preserve"> 13</w:t>
            </w:r>
            <w:r w:rsidRPr="00803E17">
              <w:rPr>
                <w:rFonts w:ascii="Arial" w:hAnsi="Arial" w:cs="Arial"/>
                <w:bCs/>
                <w:sz w:val="24"/>
                <w:lang w:val="en-US" w:eastAsia="en-GB"/>
              </w:rPr>
              <w:t xml:space="preserve"> breaches led to a bre</w:t>
            </w:r>
            <w:r w:rsidR="00CA72CC" w:rsidRPr="00803E17">
              <w:rPr>
                <w:rFonts w:ascii="Arial" w:hAnsi="Arial" w:cs="Arial"/>
                <w:bCs/>
                <w:sz w:val="24"/>
                <w:lang w:val="en-US" w:eastAsia="en-GB"/>
              </w:rPr>
              <w:t>ach of the 62 day target;</w:t>
            </w:r>
            <w:r w:rsidR="003802F1" w:rsidRPr="00803E17">
              <w:rPr>
                <w:rFonts w:ascii="Arial" w:hAnsi="Arial" w:cs="Arial"/>
                <w:bCs/>
                <w:sz w:val="24"/>
                <w:lang w:val="en-US" w:eastAsia="en-GB"/>
              </w:rPr>
              <w:t xml:space="preserve"> 2</w:t>
            </w:r>
            <w:r w:rsidRPr="00803E17">
              <w:rPr>
                <w:rFonts w:ascii="Arial" w:hAnsi="Arial" w:cs="Arial"/>
                <w:bCs/>
                <w:sz w:val="24"/>
                <w:lang w:val="en-US" w:eastAsia="en-GB"/>
              </w:rPr>
              <w:t xml:space="preserve"> of these breaches were deemed to be avoidable. </w:t>
            </w:r>
          </w:p>
          <w:p w:rsidR="00550FB8" w:rsidRPr="00803E17" w:rsidRDefault="00550FB8" w:rsidP="00103278">
            <w:pPr>
              <w:spacing w:after="120"/>
              <w:jc w:val="both"/>
              <w:rPr>
                <w:rFonts w:ascii="Arial" w:hAnsi="Arial" w:cs="Arial"/>
                <w:bCs/>
                <w:sz w:val="24"/>
                <w:lang w:val="en-US" w:eastAsia="en-GB"/>
              </w:rPr>
            </w:pPr>
            <w:r w:rsidRPr="00803E17">
              <w:rPr>
                <w:rFonts w:ascii="Arial" w:hAnsi="Arial" w:cs="Arial"/>
                <w:bCs/>
                <w:sz w:val="24"/>
                <w:lang w:val="en-US" w:eastAsia="en-GB"/>
              </w:rPr>
              <w:t>The reasons for the 62 day</w:t>
            </w:r>
            <w:r w:rsidR="003802F1" w:rsidRPr="00803E17">
              <w:rPr>
                <w:rFonts w:ascii="Arial" w:hAnsi="Arial" w:cs="Arial"/>
                <w:bCs/>
                <w:sz w:val="24"/>
                <w:lang w:val="en-US" w:eastAsia="en-GB"/>
              </w:rPr>
              <w:t xml:space="preserve"> breaches were</w:t>
            </w:r>
            <w:r w:rsidRPr="00803E17">
              <w:rPr>
                <w:rFonts w:ascii="Arial" w:hAnsi="Arial" w:cs="Arial"/>
                <w:bCs/>
                <w:sz w:val="24"/>
                <w:lang w:val="en-US" w:eastAsia="en-GB"/>
              </w:rPr>
              <w:t xml:space="preserve"> delay to first appointme</w:t>
            </w:r>
            <w:r w:rsidR="00CA72CC" w:rsidRPr="00803E17">
              <w:rPr>
                <w:rFonts w:ascii="Arial" w:hAnsi="Arial" w:cs="Arial"/>
                <w:bCs/>
                <w:sz w:val="24"/>
                <w:lang w:val="en-US" w:eastAsia="en-GB"/>
              </w:rPr>
              <w:t>nt due to lung clinic capacity,</w:t>
            </w:r>
            <w:r w:rsidR="003802F1" w:rsidRPr="00803E17">
              <w:rPr>
                <w:rFonts w:ascii="Arial" w:hAnsi="Arial" w:cs="Arial"/>
                <w:bCs/>
                <w:sz w:val="24"/>
                <w:lang w:val="en-US" w:eastAsia="en-GB"/>
              </w:rPr>
              <w:t xml:space="preserve"> 2</w:t>
            </w:r>
            <w:r w:rsidRPr="00803E17">
              <w:rPr>
                <w:rFonts w:ascii="Arial" w:hAnsi="Arial" w:cs="Arial"/>
                <w:bCs/>
                <w:sz w:val="24"/>
                <w:lang w:val="en-US" w:eastAsia="en-GB"/>
              </w:rPr>
              <w:t xml:space="preserve"> patients were </w:t>
            </w:r>
            <w:r w:rsidR="003802F1" w:rsidRPr="00803E17">
              <w:rPr>
                <w:rFonts w:ascii="Arial" w:hAnsi="Arial" w:cs="Arial"/>
                <w:bCs/>
                <w:sz w:val="24"/>
                <w:lang w:val="en-US" w:eastAsia="en-GB"/>
              </w:rPr>
              <w:t>affected</w:t>
            </w:r>
            <w:r w:rsidRPr="00803E17">
              <w:rPr>
                <w:rFonts w:ascii="Arial" w:hAnsi="Arial" w:cs="Arial"/>
                <w:bCs/>
                <w:sz w:val="24"/>
                <w:lang w:val="en-US" w:eastAsia="en-GB"/>
              </w:rPr>
              <w:t xml:space="preserve"> by COVID</w:t>
            </w:r>
            <w:r w:rsidR="00CA72CC" w:rsidRPr="00803E17">
              <w:rPr>
                <w:rFonts w:ascii="Arial" w:hAnsi="Arial" w:cs="Arial"/>
                <w:bCs/>
                <w:sz w:val="24"/>
                <w:lang w:val="en-US" w:eastAsia="en-GB"/>
              </w:rPr>
              <w:t xml:space="preserve">, </w:t>
            </w:r>
            <w:r w:rsidR="003802F1" w:rsidRPr="00803E17">
              <w:rPr>
                <w:rFonts w:ascii="Arial" w:hAnsi="Arial" w:cs="Arial"/>
                <w:bCs/>
                <w:sz w:val="24"/>
                <w:lang w:val="en-US" w:eastAsia="en-GB"/>
              </w:rPr>
              <w:t>1</w:t>
            </w:r>
            <w:r w:rsidRPr="00803E17">
              <w:rPr>
                <w:rFonts w:ascii="Arial" w:hAnsi="Arial" w:cs="Arial"/>
                <w:bCs/>
                <w:sz w:val="24"/>
                <w:lang w:val="en-US" w:eastAsia="en-GB"/>
              </w:rPr>
              <w:t xml:space="preserve"> patient requested </w:t>
            </w:r>
            <w:r w:rsidR="003802F1" w:rsidRPr="00803E17">
              <w:rPr>
                <w:rFonts w:ascii="Arial" w:hAnsi="Arial" w:cs="Arial"/>
                <w:bCs/>
                <w:sz w:val="24"/>
                <w:lang w:val="en-US" w:eastAsia="en-GB"/>
              </w:rPr>
              <w:t xml:space="preserve">an alternative </w:t>
            </w:r>
            <w:r w:rsidRPr="00803E17">
              <w:rPr>
                <w:rFonts w:ascii="Arial" w:hAnsi="Arial" w:cs="Arial"/>
                <w:bCs/>
                <w:sz w:val="24"/>
                <w:lang w:val="en-US" w:eastAsia="en-GB"/>
              </w:rPr>
              <w:t>treatment start date</w:t>
            </w:r>
            <w:r w:rsidR="00CA72CC" w:rsidRPr="00803E17">
              <w:rPr>
                <w:rFonts w:ascii="Arial" w:hAnsi="Arial" w:cs="Arial"/>
                <w:bCs/>
                <w:sz w:val="24"/>
                <w:lang w:val="en-US" w:eastAsia="en-GB"/>
              </w:rPr>
              <w:t xml:space="preserve"> and 1 patient did not have an additional test (required prior to treatment) booked within the target date.</w:t>
            </w:r>
          </w:p>
          <w:p w:rsidR="00550FB8" w:rsidRPr="00803E17" w:rsidRDefault="003802F1" w:rsidP="00C549B2">
            <w:pPr>
              <w:spacing w:after="100" w:line="240" w:lineRule="auto"/>
              <w:jc w:val="both"/>
              <w:rPr>
                <w:rFonts w:ascii="Arial" w:hAnsi="Arial" w:cs="Arial"/>
                <w:bCs/>
                <w:sz w:val="24"/>
                <w:lang w:val="en-US" w:eastAsia="en-GB"/>
              </w:rPr>
            </w:pPr>
            <w:r w:rsidRPr="00803E17">
              <w:rPr>
                <w:rFonts w:ascii="Arial" w:hAnsi="Arial" w:cs="Arial"/>
                <w:bCs/>
                <w:sz w:val="24"/>
                <w:lang w:val="en-US" w:eastAsia="en-GB"/>
              </w:rPr>
              <w:t xml:space="preserve">8 </w:t>
            </w:r>
            <w:r w:rsidR="00550FB8" w:rsidRPr="00803E17">
              <w:rPr>
                <w:rFonts w:ascii="Arial" w:hAnsi="Arial" w:cs="Arial"/>
                <w:bCs/>
                <w:sz w:val="24"/>
                <w:lang w:val="en-US" w:eastAsia="en-GB"/>
              </w:rPr>
              <w:t xml:space="preserve">patients </w:t>
            </w:r>
            <w:r w:rsidRPr="00803E17">
              <w:rPr>
                <w:rFonts w:ascii="Arial" w:hAnsi="Arial" w:cs="Arial"/>
                <w:bCs/>
                <w:sz w:val="24"/>
                <w:lang w:val="en-US" w:eastAsia="en-GB"/>
              </w:rPr>
              <w:t>breached the 24 day target (1 chemotherapy patient and 7</w:t>
            </w:r>
            <w:r w:rsidR="00550FB8" w:rsidRPr="00803E17">
              <w:rPr>
                <w:rFonts w:ascii="Arial" w:hAnsi="Arial" w:cs="Arial"/>
                <w:bCs/>
                <w:sz w:val="24"/>
                <w:lang w:val="en-US" w:eastAsia="en-GB"/>
              </w:rPr>
              <w:t xml:space="preserve"> radiotherapy patients) but achieve</w:t>
            </w:r>
            <w:r w:rsidRPr="00803E17">
              <w:rPr>
                <w:rFonts w:ascii="Arial" w:hAnsi="Arial" w:cs="Arial"/>
                <w:bCs/>
                <w:sz w:val="24"/>
                <w:lang w:val="en-US" w:eastAsia="en-GB"/>
              </w:rPr>
              <w:t>d</w:t>
            </w:r>
            <w:r w:rsidR="00550FB8" w:rsidRPr="00803E17">
              <w:rPr>
                <w:rFonts w:ascii="Arial" w:hAnsi="Arial" w:cs="Arial"/>
                <w:bCs/>
                <w:sz w:val="24"/>
                <w:lang w:val="en-US" w:eastAsia="en-GB"/>
              </w:rPr>
              <w:t xml:space="preserve"> the 62 day target. Th</w:t>
            </w:r>
            <w:r w:rsidR="00CA72CC" w:rsidRPr="00803E17">
              <w:rPr>
                <w:rFonts w:ascii="Arial" w:hAnsi="Arial" w:cs="Arial"/>
                <w:bCs/>
                <w:sz w:val="24"/>
                <w:lang w:val="en-US" w:eastAsia="en-GB"/>
              </w:rPr>
              <w:t>e reason for these breaches are</w:t>
            </w:r>
            <w:r w:rsidR="00550FB8" w:rsidRPr="00803E17">
              <w:rPr>
                <w:rFonts w:ascii="Arial" w:hAnsi="Arial" w:cs="Arial"/>
                <w:bCs/>
                <w:sz w:val="24"/>
                <w:lang w:val="en-US" w:eastAsia="en-GB"/>
              </w:rPr>
              <w:t xml:space="preserve"> delay to first appointment </w:t>
            </w:r>
            <w:r w:rsidRPr="00803E17">
              <w:rPr>
                <w:rFonts w:ascii="Arial" w:hAnsi="Arial" w:cs="Arial"/>
                <w:bCs/>
                <w:sz w:val="24"/>
                <w:lang w:val="en-US" w:eastAsia="en-GB"/>
              </w:rPr>
              <w:t>due to lung clinic capacity (1</w:t>
            </w:r>
            <w:r w:rsidR="00550FB8" w:rsidRPr="00803E17">
              <w:rPr>
                <w:rFonts w:ascii="Arial" w:hAnsi="Arial" w:cs="Arial"/>
                <w:bCs/>
                <w:sz w:val="24"/>
                <w:lang w:val="en-US" w:eastAsia="en-GB"/>
              </w:rPr>
              <w:t xml:space="preserve"> patient),</w:t>
            </w:r>
            <w:r w:rsidRPr="00803E17">
              <w:rPr>
                <w:rFonts w:ascii="Arial" w:hAnsi="Arial" w:cs="Arial"/>
                <w:bCs/>
                <w:sz w:val="24"/>
                <w:lang w:val="en-US" w:eastAsia="en-GB"/>
              </w:rPr>
              <w:t xml:space="preserve"> 4</w:t>
            </w:r>
            <w:r w:rsidR="00550FB8" w:rsidRPr="00803E17">
              <w:rPr>
                <w:rFonts w:ascii="Arial" w:hAnsi="Arial" w:cs="Arial"/>
                <w:bCs/>
                <w:sz w:val="24"/>
                <w:lang w:val="en-US" w:eastAsia="en-GB"/>
              </w:rPr>
              <w:t xml:space="preserve"> patients had a delay to radiotherapy planning or treatme</w:t>
            </w:r>
            <w:r w:rsidRPr="00803E17">
              <w:rPr>
                <w:rFonts w:ascii="Arial" w:hAnsi="Arial" w:cs="Arial"/>
                <w:bCs/>
                <w:sz w:val="24"/>
                <w:lang w:val="en-US" w:eastAsia="en-GB"/>
              </w:rPr>
              <w:t>nt appointments, one patient wanted thinking time and 1</w:t>
            </w:r>
            <w:r w:rsidR="00550FB8" w:rsidRPr="00803E17">
              <w:rPr>
                <w:rFonts w:ascii="Arial" w:hAnsi="Arial" w:cs="Arial"/>
                <w:bCs/>
                <w:sz w:val="24"/>
                <w:lang w:val="en-US" w:eastAsia="en-GB"/>
              </w:rPr>
              <w:t xml:space="preserve"> patient required an additional face to face appointment after the first appointment</w:t>
            </w:r>
            <w:r w:rsidRPr="00803E17">
              <w:rPr>
                <w:rFonts w:ascii="Arial" w:hAnsi="Arial" w:cs="Arial"/>
                <w:bCs/>
                <w:sz w:val="24"/>
                <w:lang w:val="en-US" w:eastAsia="en-GB"/>
              </w:rPr>
              <w:t xml:space="preserve"> due to </w:t>
            </w:r>
            <w:r w:rsidR="00CA72CC" w:rsidRPr="00803E17">
              <w:rPr>
                <w:rFonts w:ascii="Arial" w:hAnsi="Arial" w:cs="Arial"/>
                <w:bCs/>
                <w:sz w:val="24"/>
                <w:lang w:val="en-US" w:eastAsia="en-GB"/>
              </w:rPr>
              <w:t xml:space="preserve">a </w:t>
            </w:r>
            <w:r w:rsidRPr="00803E17">
              <w:rPr>
                <w:rFonts w:ascii="Arial" w:hAnsi="Arial" w:cs="Arial"/>
                <w:bCs/>
                <w:sz w:val="24"/>
                <w:lang w:val="en-US" w:eastAsia="en-GB"/>
              </w:rPr>
              <w:t>hearing impairment</w:t>
            </w:r>
            <w:r w:rsidR="00550FB8" w:rsidRPr="00803E17">
              <w:rPr>
                <w:rFonts w:ascii="Arial" w:hAnsi="Arial" w:cs="Arial"/>
                <w:bCs/>
                <w:sz w:val="24"/>
                <w:lang w:val="en-US" w:eastAsia="en-GB"/>
              </w:rPr>
              <w:t>.</w:t>
            </w:r>
          </w:p>
        </w:tc>
      </w:tr>
      <w:tr w:rsidR="00C00C77" w:rsidRPr="00C00C77" w:rsidTr="00AC7BB5">
        <w:trPr>
          <w:trHeight w:val="638"/>
        </w:trPr>
        <w:tc>
          <w:tcPr>
            <w:tcW w:w="10048" w:type="dxa"/>
            <w:gridSpan w:val="6"/>
            <w:tcBorders>
              <w:top w:val="nil"/>
              <w:left w:val="single" w:sz="8" w:space="0" w:color="808080"/>
              <w:bottom w:val="single" w:sz="8" w:space="0" w:color="808080"/>
              <w:right w:val="single" w:sz="8" w:space="0" w:color="808080"/>
            </w:tcBorders>
            <w:tcMar>
              <w:top w:w="0" w:type="dxa"/>
              <w:left w:w="108" w:type="dxa"/>
              <w:bottom w:w="0" w:type="dxa"/>
              <w:right w:w="108" w:type="dxa"/>
            </w:tcMar>
          </w:tcPr>
          <w:p w:rsidR="00C00C77" w:rsidRPr="00803E17" w:rsidRDefault="00C00C77" w:rsidP="003574DD">
            <w:pPr>
              <w:autoSpaceDE w:val="0"/>
              <w:autoSpaceDN w:val="0"/>
              <w:adjustRightInd w:val="0"/>
              <w:spacing w:before="60" w:after="60" w:line="240" w:lineRule="auto"/>
              <w:rPr>
                <w:rFonts w:ascii="Arial" w:eastAsia="Calibri" w:hAnsi="Arial" w:cs="Arial"/>
                <w:b/>
                <w:bCs/>
                <w:sz w:val="24"/>
                <w:szCs w:val="24"/>
              </w:rPr>
            </w:pPr>
            <w:r w:rsidRPr="00803E17">
              <w:rPr>
                <w:rFonts w:ascii="Arial" w:hAnsi="Arial" w:cs="Arial"/>
                <w:b/>
                <w:bCs/>
                <w:sz w:val="24"/>
                <w:lang w:val="en-US" w:eastAsia="en-GB"/>
              </w:rPr>
              <w:t>Action Taken to improve compliance</w:t>
            </w:r>
          </w:p>
          <w:p w:rsidR="00D923BD" w:rsidRPr="00803E17" w:rsidRDefault="00D923BD" w:rsidP="00D923BD">
            <w:pPr>
              <w:pStyle w:val="ListParagraph"/>
              <w:numPr>
                <w:ilvl w:val="0"/>
                <w:numId w:val="25"/>
              </w:numPr>
              <w:rPr>
                <w:rFonts w:ascii="Arial" w:hAnsi="Arial" w:cs="Arial"/>
                <w:bCs/>
                <w:sz w:val="24"/>
              </w:rPr>
            </w:pPr>
            <w:r w:rsidRPr="00803E17">
              <w:rPr>
                <w:rFonts w:ascii="Arial" w:hAnsi="Arial" w:cs="Arial"/>
                <w:bCs/>
                <w:sz w:val="24"/>
              </w:rPr>
              <w:t xml:space="preserve">HO service to review processes and develop an action plan for managing the diagnostic pathway. This plan will be reviewed at the CWT Target Operational Group on 19th June 2020. </w:t>
            </w:r>
          </w:p>
          <w:p w:rsidR="00C00C77" w:rsidRPr="00803E17" w:rsidRDefault="00C00C77" w:rsidP="00C00C77">
            <w:pPr>
              <w:pStyle w:val="ListParagraph"/>
              <w:numPr>
                <w:ilvl w:val="0"/>
                <w:numId w:val="25"/>
              </w:numPr>
              <w:spacing w:line="240" w:lineRule="auto"/>
              <w:jc w:val="both"/>
              <w:rPr>
                <w:rFonts w:ascii="Arial" w:hAnsi="Arial" w:cs="Arial"/>
                <w:sz w:val="24"/>
              </w:rPr>
            </w:pPr>
            <w:r w:rsidRPr="00803E17">
              <w:rPr>
                <w:rFonts w:ascii="Arial" w:hAnsi="Arial" w:cs="Arial"/>
                <w:sz w:val="24"/>
              </w:rPr>
              <w:t xml:space="preserve">Monitoring of 7 day appointments </w:t>
            </w:r>
            <w:r w:rsidR="00D77ADE" w:rsidRPr="00803E17">
              <w:rPr>
                <w:rFonts w:ascii="Arial" w:hAnsi="Arial" w:cs="Arial"/>
                <w:sz w:val="24"/>
              </w:rPr>
              <w:t xml:space="preserve">is </w:t>
            </w:r>
            <w:r w:rsidRPr="00803E17">
              <w:rPr>
                <w:rFonts w:ascii="Arial" w:hAnsi="Arial" w:cs="Arial"/>
                <w:sz w:val="24"/>
              </w:rPr>
              <w:t xml:space="preserve">being undertaken by the Admin Service Lead to identify and escalate potential issues to prevent breaches </w:t>
            </w:r>
            <w:r w:rsidR="00D77ADE" w:rsidRPr="00803E17">
              <w:rPr>
                <w:rFonts w:ascii="Arial" w:hAnsi="Arial" w:cs="Arial"/>
                <w:sz w:val="24"/>
              </w:rPr>
              <w:t>and thereby achieve the</w:t>
            </w:r>
            <w:r w:rsidRPr="00803E17">
              <w:rPr>
                <w:rFonts w:ascii="Arial" w:hAnsi="Arial" w:cs="Arial"/>
                <w:sz w:val="24"/>
              </w:rPr>
              <w:t xml:space="preserve"> 24 day target</w:t>
            </w:r>
            <w:r w:rsidR="00D77ADE" w:rsidRPr="00803E17">
              <w:rPr>
                <w:rFonts w:ascii="Arial" w:hAnsi="Arial" w:cs="Arial"/>
                <w:sz w:val="24"/>
              </w:rPr>
              <w:t>.</w:t>
            </w:r>
          </w:p>
          <w:p w:rsidR="00C00C77" w:rsidRPr="00803E17" w:rsidRDefault="00DB7A44" w:rsidP="00C549B2">
            <w:pPr>
              <w:pStyle w:val="ListParagraph"/>
              <w:numPr>
                <w:ilvl w:val="0"/>
                <w:numId w:val="25"/>
              </w:numPr>
              <w:spacing w:after="100" w:line="240" w:lineRule="auto"/>
              <w:ind w:left="357" w:hanging="357"/>
              <w:jc w:val="both"/>
              <w:rPr>
                <w:rFonts w:cstheme="minorHAnsi"/>
                <w:sz w:val="24"/>
              </w:rPr>
            </w:pPr>
            <w:r w:rsidRPr="00803E17">
              <w:rPr>
                <w:rFonts w:ascii="Arial" w:hAnsi="Arial" w:cs="Arial"/>
                <w:sz w:val="24"/>
              </w:rPr>
              <w:t>A Consultant rota for the triage of lung patient referrals, supplemented by a Consultant Radiographer and Advanced Nurse Practitioner, is now in place and this process is working well.</w:t>
            </w:r>
          </w:p>
        </w:tc>
        <w:tc>
          <w:tcPr>
            <w:tcW w:w="150" w:type="dxa"/>
            <w:gridSpan w:val="2"/>
            <w:vAlign w:val="center"/>
          </w:tcPr>
          <w:p w:rsidR="00C00C77" w:rsidRPr="00C00C77" w:rsidRDefault="00C00C77" w:rsidP="00C00C77">
            <w:pPr>
              <w:jc w:val="center"/>
              <w:rPr>
                <w:rFonts w:ascii="Calibri" w:hAnsi="Calibri" w:cs="Calibri"/>
                <w:b/>
                <w:bCs/>
                <w:color w:val="FFFFFF"/>
                <w:sz w:val="16"/>
                <w:szCs w:val="16"/>
              </w:rPr>
            </w:pPr>
            <w:r w:rsidRPr="00C00C77">
              <w:rPr>
                <w:rFonts w:ascii="Calibri" w:hAnsi="Calibri" w:cs="Calibri"/>
                <w:b/>
                <w:bCs/>
                <w:color w:val="FFFFFF"/>
                <w:sz w:val="16"/>
                <w:szCs w:val="16"/>
              </w:rPr>
              <w:t> </w:t>
            </w:r>
          </w:p>
        </w:tc>
      </w:tr>
      <w:tr w:rsidR="00C00C77" w:rsidRPr="00C00C77" w:rsidTr="00103278">
        <w:trPr>
          <w:gridAfter w:val="2"/>
          <w:wAfter w:w="150" w:type="dxa"/>
          <w:trHeight w:hRule="exact" w:val="425"/>
        </w:trPr>
        <w:tc>
          <w:tcPr>
            <w:tcW w:w="3261" w:type="dxa"/>
            <w:tcBorders>
              <w:top w:val="nil"/>
              <w:left w:val="single" w:sz="8" w:space="0" w:color="808080"/>
              <w:bottom w:val="single" w:sz="8" w:space="0" w:color="808080"/>
              <w:right w:val="single" w:sz="8" w:space="0" w:color="808080"/>
            </w:tcBorders>
            <w:tcMar>
              <w:top w:w="0" w:type="dxa"/>
              <w:left w:w="108" w:type="dxa"/>
              <w:bottom w:w="0" w:type="dxa"/>
              <w:right w:w="108" w:type="dxa"/>
            </w:tcMar>
            <w:vAlign w:val="center"/>
            <w:hideMark/>
          </w:tcPr>
          <w:p w:rsidR="00C00C77" w:rsidRPr="00C00C77" w:rsidRDefault="00C00C77" w:rsidP="00103278">
            <w:pPr>
              <w:spacing w:after="0" w:line="240" w:lineRule="auto"/>
              <w:rPr>
                <w:rFonts w:ascii="Arial" w:hAnsi="Arial" w:cs="Arial"/>
                <w:b/>
                <w:bCs/>
                <w:lang w:val="en-US" w:eastAsia="en-GB"/>
              </w:rPr>
            </w:pPr>
            <w:r w:rsidRPr="00C00C77">
              <w:rPr>
                <w:rFonts w:ascii="Arial" w:hAnsi="Arial" w:cs="Arial"/>
                <w:b/>
                <w:bCs/>
                <w:lang w:val="en-US" w:eastAsia="en-GB"/>
              </w:rPr>
              <w:t>Expected date of compliance</w:t>
            </w:r>
          </w:p>
        </w:tc>
        <w:tc>
          <w:tcPr>
            <w:tcW w:w="6787" w:type="dxa"/>
            <w:gridSpan w:val="5"/>
            <w:tcBorders>
              <w:top w:val="nil"/>
              <w:left w:val="nil"/>
              <w:bottom w:val="single" w:sz="8" w:space="0" w:color="808080"/>
              <w:right w:val="single" w:sz="8" w:space="0" w:color="808080"/>
            </w:tcBorders>
            <w:tcMar>
              <w:top w:w="0" w:type="dxa"/>
              <w:left w:w="108" w:type="dxa"/>
              <w:bottom w:w="0" w:type="dxa"/>
              <w:right w:w="108" w:type="dxa"/>
            </w:tcMar>
            <w:vAlign w:val="center"/>
            <w:hideMark/>
          </w:tcPr>
          <w:p w:rsidR="00C00C77" w:rsidRPr="00803E17" w:rsidRDefault="00C00C77" w:rsidP="00103278">
            <w:pPr>
              <w:spacing w:after="0" w:line="240" w:lineRule="auto"/>
              <w:rPr>
                <w:rFonts w:ascii="Arial" w:hAnsi="Arial" w:cs="Arial"/>
                <w:sz w:val="24"/>
                <w:lang w:val="en-US"/>
              </w:rPr>
            </w:pPr>
            <w:r w:rsidRPr="00803E17">
              <w:rPr>
                <w:rFonts w:ascii="Arial" w:hAnsi="Arial" w:cs="Arial"/>
                <w:sz w:val="24"/>
                <w:lang w:val="en-US"/>
              </w:rPr>
              <w:t>30/6/20</w:t>
            </w:r>
          </w:p>
        </w:tc>
      </w:tr>
      <w:tr w:rsidR="00C00C77" w:rsidRPr="00C00C77" w:rsidTr="00103278">
        <w:trPr>
          <w:gridAfter w:val="2"/>
          <w:wAfter w:w="150" w:type="dxa"/>
          <w:trHeight w:hRule="exact" w:val="647"/>
        </w:trPr>
        <w:tc>
          <w:tcPr>
            <w:tcW w:w="3261" w:type="dxa"/>
            <w:tcBorders>
              <w:top w:val="nil"/>
              <w:left w:val="single" w:sz="8" w:space="0" w:color="808080"/>
              <w:bottom w:val="single" w:sz="8" w:space="0" w:color="808080"/>
              <w:right w:val="single" w:sz="8" w:space="0" w:color="808080"/>
            </w:tcBorders>
            <w:tcMar>
              <w:top w:w="0" w:type="dxa"/>
              <w:left w:w="108" w:type="dxa"/>
              <w:bottom w:w="0" w:type="dxa"/>
              <w:right w:w="108" w:type="dxa"/>
            </w:tcMar>
            <w:vAlign w:val="center"/>
            <w:hideMark/>
          </w:tcPr>
          <w:p w:rsidR="00C00C77" w:rsidRPr="00C00C77" w:rsidRDefault="00C00C77" w:rsidP="00103278">
            <w:pPr>
              <w:spacing w:after="0" w:line="240" w:lineRule="auto"/>
              <w:rPr>
                <w:rFonts w:ascii="Arial" w:hAnsi="Arial" w:cs="Arial"/>
                <w:b/>
                <w:bCs/>
                <w:lang w:val="en-US" w:eastAsia="en-GB"/>
              </w:rPr>
            </w:pPr>
            <w:r w:rsidRPr="00C00C77">
              <w:rPr>
                <w:rFonts w:ascii="Arial" w:hAnsi="Arial" w:cs="Arial"/>
                <w:b/>
                <w:bCs/>
                <w:lang w:val="en-US" w:eastAsia="en-GB"/>
              </w:rPr>
              <w:t>Escalation route</w:t>
            </w:r>
          </w:p>
        </w:tc>
        <w:tc>
          <w:tcPr>
            <w:tcW w:w="6787" w:type="dxa"/>
            <w:gridSpan w:val="5"/>
            <w:tcBorders>
              <w:top w:val="nil"/>
              <w:left w:val="nil"/>
              <w:bottom w:val="single" w:sz="8" w:space="0" w:color="808080"/>
              <w:right w:val="single" w:sz="8" w:space="0" w:color="808080"/>
            </w:tcBorders>
            <w:tcMar>
              <w:top w:w="0" w:type="dxa"/>
              <w:left w:w="108" w:type="dxa"/>
              <w:bottom w:w="0" w:type="dxa"/>
              <w:right w:w="108" w:type="dxa"/>
            </w:tcMar>
            <w:vAlign w:val="center"/>
            <w:hideMark/>
          </w:tcPr>
          <w:p w:rsidR="00103278" w:rsidRPr="00803E17" w:rsidRDefault="00C00C77" w:rsidP="00103278">
            <w:pPr>
              <w:spacing w:after="0" w:line="240" w:lineRule="auto"/>
              <w:rPr>
                <w:rFonts w:ascii="Arial" w:hAnsi="Arial" w:cs="Arial"/>
                <w:sz w:val="24"/>
                <w:lang w:val="en-US" w:eastAsia="en-GB"/>
              </w:rPr>
            </w:pPr>
            <w:r w:rsidRPr="00803E17">
              <w:rPr>
                <w:rFonts w:ascii="Arial" w:hAnsi="Arial" w:cs="Arial"/>
                <w:sz w:val="24"/>
                <w:lang w:val="en-US" w:eastAsia="en-GB"/>
              </w:rPr>
              <w:t xml:space="preserve">CWT Target Operational Group / Performance Committee / </w:t>
            </w:r>
          </w:p>
          <w:p w:rsidR="00C00C77" w:rsidRPr="00803E17" w:rsidRDefault="008A3D9C" w:rsidP="00103278">
            <w:pPr>
              <w:spacing w:after="0" w:line="240" w:lineRule="auto"/>
              <w:rPr>
                <w:rFonts w:ascii="Arial" w:hAnsi="Arial" w:cs="Arial"/>
                <w:sz w:val="24"/>
                <w:lang w:val="en-US" w:eastAsia="en-GB"/>
              </w:rPr>
            </w:pPr>
            <w:r w:rsidRPr="00803E17">
              <w:rPr>
                <w:rFonts w:ascii="Arial" w:hAnsi="Arial" w:cs="Arial"/>
                <w:sz w:val="24"/>
                <w:szCs w:val="20"/>
                <w:lang w:val="en-US" w:eastAsia="en-GB"/>
              </w:rPr>
              <w:t>Board of Directors</w:t>
            </w:r>
          </w:p>
        </w:tc>
      </w:tr>
      <w:tr w:rsidR="00C00C77" w:rsidRPr="00C00C77" w:rsidTr="00103278">
        <w:trPr>
          <w:gridAfter w:val="2"/>
          <w:wAfter w:w="150" w:type="dxa"/>
          <w:trHeight w:hRule="exact" w:val="425"/>
        </w:trPr>
        <w:tc>
          <w:tcPr>
            <w:tcW w:w="3261" w:type="dxa"/>
            <w:tcBorders>
              <w:top w:val="nil"/>
              <w:left w:val="single" w:sz="8" w:space="0" w:color="808080"/>
              <w:bottom w:val="single" w:sz="8" w:space="0" w:color="808080"/>
              <w:right w:val="single" w:sz="8" w:space="0" w:color="808080"/>
            </w:tcBorders>
            <w:tcMar>
              <w:top w:w="0" w:type="dxa"/>
              <w:left w:w="108" w:type="dxa"/>
              <w:bottom w:w="0" w:type="dxa"/>
              <w:right w:w="108" w:type="dxa"/>
            </w:tcMar>
            <w:vAlign w:val="center"/>
            <w:hideMark/>
          </w:tcPr>
          <w:p w:rsidR="00C00C77" w:rsidRPr="00C00C77" w:rsidRDefault="00C00C77" w:rsidP="00103278">
            <w:pPr>
              <w:spacing w:after="0" w:line="240" w:lineRule="auto"/>
              <w:rPr>
                <w:rFonts w:ascii="Arial" w:hAnsi="Arial" w:cs="Arial"/>
                <w:b/>
                <w:bCs/>
                <w:lang w:val="en-US" w:eastAsia="en-GB"/>
              </w:rPr>
            </w:pPr>
            <w:r w:rsidRPr="00C00C77">
              <w:rPr>
                <w:rFonts w:ascii="Arial" w:hAnsi="Arial" w:cs="Arial"/>
                <w:b/>
                <w:bCs/>
                <w:lang w:val="en-US" w:eastAsia="en-GB"/>
              </w:rPr>
              <w:t>Executive Lead</w:t>
            </w:r>
          </w:p>
        </w:tc>
        <w:tc>
          <w:tcPr>
            <w:tcW w:w="6787" w:type="dxa"/>
            <w:gridSpan w:val="5"/>
            <w:tcBorders>
              <w:top w:val="nil"/>
              <w:left w:val="nil"/>
              <w:bottom w:val="single" w:sz="8" w:space="0" w:color="808080"/>
              <w:right w:val="single" w:sz="8" w:space="0" w:color="808080"/>
            </w:tcBorders>
            <w:tcMar>
              <w:top w:w="0" w:type="dxa"/>
              <w:left w:w="108" w:type="dxa"/>
              <w:bottom w:w="0" w:type="dxa"/>
              <w:right w:w="108" w:type="dxa"/>
            </w:tcMar>
            <w:vAlign w:val="center"/>
            <w:hideMark/>
          </w:tcPr>
          <w:p w:rsidR="00C00C77" w:rsidRPr="00803E17" w:rsidRDefault="00C00C77" w:rsidP="00103278">
            <w:pPr>
              <w:spacing w:after="0" w:line="240" w:lineRule="auto"/>
              <w:rPr>
                <w:rFonts w:ascii="Arial" w:hAnsi="Arial" w:cs="Arial"/>
                <w:sz w:val="24"/>
                <w:lang w:val="en-US" w:eastAsia="en-GB"/>
              </w:rPr>
            </w:pPr>
            <w:r w:rsidRPr="00803E17">
              <w:rPr>
                <w:rFonts w:ascii="Arial" w:hAnsi="Arial" w:cs="Arial"/>
                <w:sz w:val="24"/>
                <w:lang w:val="en-US" w:eastAsia="en-GB"/>
              </w:rPr>
              <w:t>Joan Spencer, Director of Operations</w:t>
            </w:r>
          </w:p>
        </w:tc>
      </w:tr>
    </w:tbl>
    <w:p w:rsidR="00103278" w:rsidRPr="00C549B2" w:rsidRDefault="00103278" w:rsidP="00C549B2">
      <w:pPr>
        <w:spacing w:after="0" w:line="240" w:lineRule="auto"/>
        <w:jc w:val="both"/>
        <w:rPr>
          <w:rFonts w:ascii="Arial" w:eastAsia="Calibri" w:hAnsi="Arial" w:cs="Arial"/>
          <w:b/>
          <w:bCs/>
          <w:sz w:val="28"/>
          <w:szCs w:val="28"/>
          <w:highlight w:val="yellow"/>
          <w:vertAlign w:val="subscript"/>
        </w:rPr>
      </w:pPr>
    </w:p>
    <w:tbl>
      <w:tblPr>
        <w:tblW w:w="10065" w:type="dxa"/>
        <w:tblInd w:w="-318" w:type="dxa"/>
        <w:tblLayout w:type="fixed"/>
        <w:tblCellMar>
          <w:left w:w="113" w:type="dxa"/>
          <w:right w:w="0" w:type="dxa"/>
        </w:tblCellMar>
        <w:tblLook w:val="04A0" w:firstRow="1" w:lastRow="0" w:firstColumn="1" w:lastColumn="0" w:noHBand="0" w:noVBand="1"/>
      </w:tblPr>
      <w:tblGrid>
        <w:gridCol w:w="3545"/>
        <w:gridCol w:w="1276"/>
        <w:gridCol w:w="1654"/>
        <w:gridCol w:w="863"/>
        <w:gridCol w:w="1026"/>
        <w:gridCol w:w="1684"/>
        <w:gridCol w:w="17"/>
      </w:tblGrid>
      <w:tr w:rsidR="00C00C77" w:rsidRPr="00C00C77" w:rsidTr="00103278">
        <w:trPr>
          <w:trHeight w:hRule="exact" w:val="340"/>
        </w:trPr>
        <w:tc>
          <w:tcPr>
            <w:tcW w:w="4821" w:type="dxa"/>
            <w:gridSpan w:val="2"/>
            <w:vMerge w:val="restart"/>
            <w:tcBorders>
              <w:top w:val="single" w:sz="8" w:space="0" w:color="808080" w:themeColor="background1" w:themeShade="80"/>
              <w:left w:val="single" w:sz="8" w:space="0" w:color="808080"/>
              <w:right w:val="single" w:sz="8" w:space="0" w:color="808080"/>
            </w:tcBorders>
            <w:shd w:val="clear" w:color="auto" w:fill="4F81BD"/>
            <w:tcMar>
              <w:top w:w="0" w:type="dxa"/>
              <w:left w:w="108" w:type="dxa"/>
              <w:bottom w:w="0" w:type="dxa"/>
              <w:right w:w="108" w:type="dxa"/>
            </w:tcMar>
            <w:hideMark/>
          </w:tcPr>
          <w:p w:rsidR="00C00C77" w:rsidRPr="00C00C77" w:rsidRDefault="00FF1A6E" w:rsidP="00FF1A6E">
            <w:pPr>
              <w:rPr>
                <w:rFonts w:ascii="Arial" w:hAnsi="Arial" w:cs="Arial"/>
                <w:b/>
                <w:bCs/>
                <w:color w:val="FFFFFF" w:themeColor="background1"/>
                <w:sz w:val="24"/>
                <w:szCs w:val="24"/>
                <w:lang w:val="en-US"/>
              </w:rPr>
            </w:pPr>
            <w:r w:rsidRPr="00123998">
              <w:rPr>
                <w:rFonts w:ascii="Arial" w:hAnsi="Arial" w:cs="Arial"/>
                <w:b/>
                <w:bCs/>
                <w:color w:val="FFFFFF" w:themeColor="background1"/>
                <w:sz w:val="24"/>
                <w:lang w:val="en-US"/>
              </w:rPr>
              <w:t xml:space="preserve">28 day faster diagnosis standard </w:t>
            </w:r>
            <w:r>
              <w:rPr>
                <w:rFonts w:ascii="Arial" w:hAnsi="Arial" w:cs="Arial"/>
                <w:b/>
                <w:bCs/>
                <w:color w:val="FFFFFF" w:themeColor="background1"/>
                <w:lang w:val="en-US"/>
              </w:rPr>
              <w:br/>
            </w:r>
            <w:r w:rsidRPr="00FF1A6E">
              <w:rPr>
                <w:rFonts w:ascii="Arial" w:hAnsi="Arial" w:cs="Arial"/>
                <w:bCs/>
                <w:color w:val="FFFFFF" w:themeColor="background1"/>
                <w:sz w:val="20"/>
                <w:lang w:val="en-US"/>
              </w:rPr>
              <w:t>(</w:t>
            </w:r>
            <w:r w:rsidR="00C00C77" w:rsidRPr="00C00C77">
              <w:rPr>
                <w:rFonts w:ascii="Arial" w:hAnsi="Arial" w:cs="Arial"/>
                <w:bCs/>
                <w:color w:val="FFFFFF" w:themeColor="background1"/>
                <w:sz w:val="20"/>
                <w:lang w:val="en-US"/>
              </w:rPr>
              <w:t>28 days from referral to diagnosis or ruling out of cancer</w:t>
            </w:r>
            <w:r w:rsidRPr="00FF1A6E">
              <w:rPr>
                <w:rFonts w:ascii="Arial" w:hAnsi="Arial" w:cs="Arial"/>
                <w:bCs/>
                <w:color w:val="FFFFFF" w:themeColor="background1"/>
                <w:sz w:val="20"/>
                <w:lang w:val="en-US"/>
              </w:rPr>
              <w:t>)</w:t>
            </w:r>
          </w:p>
        </w:tc>
        <w:tc>
          <w:tcPr>
            <w:tcW w:w="1654" w:type="dxa"/>
            <w:tcBorders>
              <w:top w:val="single" w:sz="8" w:space="0" w:color="808080" w:themeColor="background1" w:themeShade="80"/>
              <w:left w:val="single" w:sz="8" w:space="0" w:color="808080"/>
              <w:bottom w:val="single" w:sz="8" w:space="0" w:color="808080"/>
              <w:right w:val="single" w:sz="8" w:space="0" w:color="808080"/>
            </w:tcBorders>
            <w:shd w:val="clear" w:color="auto" w:fill="auto"/>
            <w:vAlign w:val="center"/>
          </w:tcPr>
          <w:p w:rsidR="00C00C77" w:rsidRPr="00C00C77" w:rsidRDefault="00C00C77" w:rsidP="00103278">
            <w:pPr>
              <w:spacing w:after="0" w:line="240" w:lineRule="auto"/>
              <w:jc w:val="center"/>
              <w:rPr>
                <w:rFonts w:ascii="Arial" w:hAnsi="Arial" w:cs="Arial"/>
                <w:b/>
                <w:bCs/>
                <w:sz w:val="20"/>
                <w:szCs w:val="20"/>
                <w:lang w:val="en-US"/>
              </w:rPr>
            </w:pPr>
            <w:r w:rsidRPr="00C00C77">
              <w:rPr>
                <w:rFonts w:ascii="Arial" w:hAnsi="Arial" w:cs="Arial"/>
                <w:b/>
                <w:bCs/>
                <w:sz w:val="20"/>
                <w:szCs w:val="20"/>
                <w:lang w:val="en-US"/>
              </w:rPr>
              <w:t>Target</w:t>
            </w:r>
          </w:p>
        </w:tc>
        <w:tc>
          <w:tcPr>
            <w:tcW w:w="863" w:type="dxa"/>
            <w:tcBorders>
              <w:top w:val="single" w:sz="8" w:space="0" w:color="808080" w:themeColor="background1" w:themeShade="80"/>
              <w:left w:val="nil"/>
              <w:bottom w:val="single" w:sz="8" w:space="0" w:color="808080"/>
              <w:right w:val="single" w:sz="8" w:space="0" w:color="808080"/>
            </w:tcBorders>
            <w:vAlign w:val="center"/>
            <w:hideMark/>
          </w:tcPr>
          <w:p w:rsidR="00C00C77" w:rsidRPr="00C00C77" w:rsidRDefault="00C00C77" w:rsidP="00103278">
            <w:pPr>
              <w:spacing w:after="0" w:line="240" w:lineRule="auto"/>
              <w:jc w:val="center"/>
              <w:rPr>
                <w:rFonts w:ascii="Arial" w:hAnsi="Arial" w:cs="Arial"/>
                <w:b/>
                <w:bCs/>
                <w:sz w:val="20"/>
                <w:szCs w:val="20"/>
                <w:lang w:val="en-US"/>
              </w:rPr>
            </w:pPr>
            <w:r w:rsidRPr="00C00C77">
              <w:rPr>
                <w:rFonts w:ascii="Arial" w:hAnsi="Arial" w:cs="Arial"/>
                <w:b/>
                <w:bCs/>
                <w:sz w:val="20"/>
                <w:szCs w:val="20"/>
                <w:lang w:val="en-US"/>
              </w:rPr>
              <w:t>May 20</w:t>
            </w:r>
          </w:p>
        </w:tc>
        <w:tc>
          <w:tcPr>
            <w:tcW w:w="1026" w:type="dxa"/>
            <w:tcBorders>
              <w:top w:val="single" w:sz="8" w:space="0" w:color="808080" w:themeColor="background1" w:themeShade="80"/>
              <w:left w:val="nil"/>
              <w:bottom w:val="single" w:sz="8" w:space="0" w:color="808080"/>
              <w:right w:val="single" w:sz="8" w:space="0" w:color="808080"/>
            </w:tcBorders>
            <w:vAlign w:val="center"/>
            <w:hideMark/>
          </w:tcPr>
          <w:p w:rsidR="00C00C77" w:rsidRPr="00C00C77" w:rsidRDefault="00C00C77" w:rsidP="00103278">
            <w:pPr>
              <w:spacing w:after="0" w:line="240" w:lineRule="auto"/>
              <w:jc w:val="center"/>
              <w:rPr>
                <w:rFonts w:ascii="Arial" w:hAnsi="Arial" w:cs="Arial"/>
                <w:b/>
                <w:bCs/>
                <w:sz w:val="20"/>
                <w:szCs w:val="20"/>
                <w:lang w:val="en-US"/>
              </w:rPr>
            </w:pPr>
            <w:r w:rsidRPr="00C00C77">
              <w:rPr>
                <w:rFonts w:ascii="Arial" w:hAnsi="Arial" w:cs="Arial"/>
                <w:b/>
                <w:bCs/>
                <w:sz w:val="20"/>
                <w:szCs w:val="20"/>
                <w:lang w:val="en-US"/>
              </w:rPr>
              <w:t>YTD</w:t>
            </w:r>
          </w:p>
        </w:tc>
        <w:tc>
          <w:tcPr>
            <w:tcW w:w="1701" w:type="dxa"/>
            <w:gridSpan w:val="2"/>
            <w:tcBorders>
              <w:top w:val="single" w:sz="8" w:space="0" w:color="808080" w:themeColor="background1" w:themeShade="80"/>
              <w:left w:val="nil"/>
              <w:bottom w:val="single" w:sz="8" w:space="0" w:color="808080"/>
              <w:right w:val="single" w:sz="8" w:space="0" w:color="808080"/>
            </w:tcBorders>
            <w:vAlign w:val="center"/>
            <w:hideMark/>
          </w:tcPr>
          <w:p w:rsidR="00C00C77" w:rsidRPr="00C00C77" w:rsidRDefault="00FF1A6E" w:rsidP="00103278">
            <w:pPr>
              <w:spacing w:after="0" w:line="240" w:lineRule="auto"/>
              <w:jc w:val="center"/>
              <w:rPr>
                <w:rFonts w:ascii="Arial" w:hAnsi="Arial" w:cs="Arial"/>
                <w:b/>
                <w:bCs/>
                <w:sz w:val="16"/>
                <w:szCs w:val="18"/>
                <w:lang w:val="en-US"/>
              </w:rPr>
            </w:pPr>
            <w:r>
              <w:rPr>
                <w:rFonts w:ascii="Arial" w:hAnsi="Arial" w:cs="Arial"/>
                <w:b/>
                <w:bCs/>
                <w:sz w:val="16"/>
                <w:szCs w:val="18"/>
                <w:lang w:val="en-US"/>
              </w:rPr>
              <w:t>Jan – May 2020</w:t>
            </w:r>
          </w:p>
        </w:tc>
      </w:tr>
      <w:tr w:rsidR="00C00C77" w:rsidRPr="00C00C77" w:rsidTr="00103278">
        <w:trPr>
          <w:trHeight w:hRule="exact" w:val="565"/>
        </w:trPr>
        <w:tc>
          <w:tcPr>
            <w:tcW w:w="4821" w:type="dxa"/>
            <w:gridSpan w:val="2"/>
            <w:vMerge/>
            <w:tcBorders>
              <w:left w:val="single" w:sz="8" w:space="0" w:color="808080"/>
              <w:bottom w:val="single" w:sz="8" w:space="0" w:color="808080"/>
              <w:right w:val="single" w:sz="8" w:space="0" w:color="808080"/>
            </w:tcBorders>
            <w:vAlign w:val="center"/>
          </w:tcPr>
          <w:p w:rsidR="00C00C77" w:rsidRPr="00C00C77" w:rsidRDefault="00C00C77" w:rsidP="00C00C77">
            <w:pPr>
              <w:rPr>
                <w:rFonts w:ascii="Arial" w:hAnsi="Arial" w:cs="Arial"/>
                <w:b/>
                <w:bCs/>
                <w:sz w:val="24"/>
                <w:szCs w:val="24"/>
                <w:lang w:val="en-US"/>
              </w:rPr>
            </w:pPr>
          </w:p>
        </w:tc>
        <w:tc>
          <w:tcPr>
            <w:tcW w:w="1654" w:type="dxa"/>
            <w:tcBorders>
              <w:top w:val="single" w:sz="8" w:space="0" w:color="808080"/>
              <w:left w:val="single" w:sz="8" w:space="0" w:color="808080"/>
              <w:bottom w:val="single" w:sz="8" w:space="0" w:color="808080"/>
              <w:right w:val="single" w:sz="8" w:space="0" w:color="808080"/>
            </w:tcBorders>
            <w:vAlign w:val="center"/>
          </w:tcPr>
          <w:p w:rsidR="00FF1A6E" w:rsidRPr="00C00C77" w:rsidRDefault="00C00C77" w:rsidP="00FF1A6E">
            <w:pPr>
              <w:jc w:val="center"/>
              <w:rPr>
                <w:rFonts w:ascii="Arial" w:hAnsi="Arial" w:cs="Arial"/>
                <w:sz w:val="16"/>
                <w:szCs w:val="16"/>
                <w:lang w:val="en-US"/>
              </w:rPr>
            </w:pPr>
            <w:r w:rsidRPr="00C00C77">
              <w:rPr>
                <w:rFonts w:ascii="Arial" w:hAnsi="Arial" w:cs="Arial"/>
                <w:lang w:val="en-US"/>
              </w:rPr>
              <w:t>70%</w:t>
            </w:r>
            <w:r w:rsidR="00FF1A6E">
              <w:rPr>
                <w:rFonts w:ascii="Arial" w:hAnsi="Arial" w:cs="Arial"/>
                <w:lang w:val="en-US"/>
              </w:rPr>
              <w:br/>
            </w:r>
            <w:r w:rsidR="00FF1A6E" w:rsidRPr="00FF1A6E">
              <w:rPr>
                <w:rFonts w:ascii="Arial" w:hAnsi="Arial" w:cs="Arial"/>
                <w:sz w:val="14"/>
                <w:szCs w:val="14"/>
                <w:lang w:val="en-US"/>
              </w:rPr>
              <w:t>(Shadow Monitoring)</w:t>
            </w:r>
          </w:p>
        </w:tc>
        <w:tc>
          <w:tcPr>
            <w:tcW w:w="863" w:type="dxa"/>
            <w:tcBorders>
              <w:top w:val="single" w:sz="8" w:space="0" w:color="808080"/>
              <w:left w:val="nil"/>
              <w:bottom w:val="single" w:sz="8" w:space="0" w:color="808080"/>
              <w:right w:val="single" w:sz="8" w:space="0" w:color="808080"/>
            </w:tcBorders>
            <w:shd w:val="clear" w:color="auto" w:fill="00B0F0"/>
            <w:vAlign w:val="center"/>
          </w:tcPr>
          <w:p w:rsidR="00C00C77" w:rsidRPr="00C00C77" w:rsidRDefault="00C00C77" w:rsidP="00103278">
            <w:pPr>
              <w:spacing w:after="0" w:line="240" w:lineRule="auto"/>
              <w:jc w:val="center"/>
              <w:rPr>
                <w:rFonts w:ascii="Arial" w:hAnsi="Arial" w:cs="Arial"/>
                <w:b/>
                <w:color w:val="FFFFFF" w:themeColor="background1"/>
                <w:lang w:val="en-US"/>
              </w:rPr>
            </w:pPr>
            <w:r w:rsidRPr="00C00C77">
              <w:rPr>
                <w:rFonts w:ascii="Arial" w:hAnsi="Arial" w:cs="Arial"/>
                <w:b/>
                <w:color w:val="FFFFFF" w:themeColor="background1"/>
                <w:lang w:val="en-US"/>
              </w:rPr>
              <w:t>0%</w:t>
            </w:r>
          </w:p>
        </w:tc>
        <w:tc>
          <w:tcPr>
            <w:tcW w:w="1026" w:type="dxa"/>
            <w:tcBorders>
              <w:top w:val="single" w:sz="8" w:space="0" w:color="808080"/>
              <w:left w:val="nil"/>
              <w:bottom w:val="single" w:sz="8" w:space="0" w:color="808080"/>
              <w:right w:val="single" w:sz="8" w:space="0" w:color="808080"/>
            </w:tcBorders>
            <w:shd w:val="clear" w:color="auto" w:fill="00B0F0"/>
            <w:vAlign w:val="center"/>
          </w:tcPr>
          <w:p w:rsidR="00C00C77" w:rsidRPr="00C00C77" w:rsidRDefault="00C00C77" w:rsidP="00103278">
            <w:pPr>
              <w:spacing w:after="0" w:line="240" w:lineRule="auto"/>
              <w:jc w:val="center"/>
              <w:rPr>
                <w:rFonts w:ascii="Arial" w:hAnsi="Arial" w:cs="Arial"/>
                <w:b/>
                <w:color w:val="FFFFFF" w:themeColor="background1"/>
                <w:lang w:val="en-US"/>
              </w:rPr>
            </w:pPr>
            <w:r w:rsidRPr="00C00C77">
              <w:rPr>
                <w:rFonts w:ascii="Arial" w:hAnsi="Arial" w:cs="Arial"/>
                <w:b/>
                <w:color w:val="FFFFFF" w:themeColor="background1"/>
                <w:lang w:val="en-US"/>
              </w:rPr>
              <w:t>60%</w:t>
            </w:r>
          </w:p>
        </w:tc>
        <w:tc>
          <w:tcPr>
            <w:tcW w:w="1701" w:type="dxa"/>
            <w:gridSpan w:val="2"/>
            <w:tcBorders>
              <w:top w:val="nil"/>
              <w:left w:val="nil"/>
              <w:bottom w:val="single" w:sz="8" w:space="0" w:color="808080"/>
              <w:right w:val="single" w:sz="8" w:space="0" w:color="808080"/>
            </w:tcBorders>
            <w:shd w:val="clear" w:color="auto" w:fill="FFFFFF"/>
            <w:vAlign w:val="bottom"/>
          </w:tcPr>
          <w:p w:rsidR="00C00C77" w:rsidRPr="00C00C77" w:rsidRDefault="00311BAF" w:rsidP="00C00C77">
            <w:pPr>
              <w:jc w:val="center"/>
              <w:rPr>
                <w:rFonts w:ascii="Calibri" w:hAnsi="Calibri" w:cs="Calibri"/>
                <w:b/>
                <w:bCs/>
                <w:color w:val="FFFFFF"/>
                <w:sz w:val="16"/>
                <w:szCs w:val="16"/>
              </w:rPr>
            </w:pPr>
            <w:r>
              <w:rPr>
                <w:rFonts w:ascii="Calibri" w:hAnsi="Calibri" w:cs="Calibri"/>
                <w:b/>
                <w:bCs/>
                <w:noProof/>
                <w:color w:val="FFFFFF"/>
                <w:sz w:val="16"/>
                <w:szCs w:val="16"/>
                <w:lang w:eastAsia="en-GB"/>
              </w:rPr>
              <w:drawing>
                <wp:inline distT="0" distB="0" distL="0" distR="0" wp14:anchorId="2997E1ED" wp14:editId="42C314B8">
                  <wp:extent cx="984250" cy="317500"/>
                  <wp:effectExtent l="0" t="0" r="6350" b="635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88828" cy="318977"/>
                          </a:xfrm>
                          <a:prstGeom prst="rect">
                            <a:avLst/>
                          </a:prstGeom>
                          <a:noFill/>
                        </pic:spPr>
                      </pic:pic>
                    </a:graphicData>
                  </a:graphic>
                </wp:inline>
              </w:drawing>
            </w:r>
          </w:p>
        </w:tc>
      </w:tr>
      <w:tr w:rsidR="00C00C77" w:rsidRPr="00C00C77" w:rsidTr="00803E17">
        <w:trPr>
          <w:trHeight w:val="565"/>
        </w:trPr>
        <w:tc>
          <w:tcPr>
            <w:tcW w:w="10065" w:type="dxa"/>
            <w:gridSpan w:val="7"/>
            <w:tcBorders>
              <w:top w:val="nil"/>
              <w:left w:val="single" w:sz="8" w:space="0" w:color="808080"/>
              <w:bottom w:val="single" w:sz="4" w:space="0" w:color="808080" w:themeColor="background1" w:themeShade="80"/>
              <w:right w:val="single" w:sz="8" w:space="0" w:color="808080"/>
            </w:tcBorders>
            <w:tcMar>
              <w:top w:w="0" w:type="dxa"/>
              <w:left w:w="108" w:type="dxa"/>
              <w:bottom w:w="0" w:type="dxa"/>
              <w:right w:w="108" w:type="dxa"/>
            </w:tcMar>
            <w:hideMark/>
          </w:tcPr>
          <w:p w:rsidR="00C00C77" w:rsidRPr="00803E17" w:rsidRDefault="00C00C77" w:rsidP="00103278">
            <w:pPr>
              <w:spacing w:before="80" w:after="80"/>
              <w:jc w:val="both"/>
              <w:rPr>
                <w:rFonts w:ascii="Arial" w:hAnsi="Arial" w:cs="Arial"/>
                <w:b/>
                <w:bCs/>
                <w:sz w:val="24"/>
                <w:lang w:val="en-US" w:eastAsia="en-GB"/>
              </w:rPr>
            </w:pPr>
            <w:r w:rsidRPr="00803E17">
              <w:rPr>
                <w:rFonts w:ascii="Arial" w:hAnsi="Arial" w:cs="Arial"/>
                <w:b/>
                <w:bCs/>
                <w:sz w:val="24"/>
                <w:lang w:val="en-US" w:eastAsia="en-GB"/>
              </w:rPr>
              <w:t>Reason for non-compliance</w:t>
            </w:r>
          </w:p>
          <w:p w:rsidR="00C00C77" w:rsidRPr="00803E17" w:rsidRDefault="00C00C77" w:rsidP="00097F1A">
            <w:pPr>
              <w:jc w:val="both"/>
              <w:rPr>
                <w:rFonts w:ascii="Arial" w:hAnsi="Arial" w:cs="Arial"/>
                <w:bCs/>
                <w:sz w:val="24"/>
                <w:lang w:val="en-US" w:eastAsia="en-GB"/>
              </w:rPr>
            </w:pPr>
            <w:r w:rsidRPr="00803E17">
              <w:rPr>
                <w:rFonts w:ascii="Arial" w:hAnsi="Arial" w:cs="Arial"/>
                <w:bCs/>
                <w:sz w:val="24"/>
                <w:lang w:val="en-US" w:eastAsia="en-GB"/>
              </w:rPr>
              <w:t>There was 1</w:t>
            </w:r>
            <w:r w:rsidR="00097F1A" w:rsidRPr="00803E17">
              <w:rPr>
                <w:rFonts w:ascii="Arial" w:hAnsi="Arial" w:cs="Arial"/>
                <w:bCs/>
                <w:sz w:val="24"/>
                <w:lang w:val="en-US" w:eastAsia="en-GB"/>
              </w:rPr>
              <w:t>,</w:t>
            </w:r>
            <w:r w:rsidRPr="00803E17">
              <w:rPr>
                <w:rFonts w:ascii="Arial" w:hAnsi="Arial" w:cs="Arial"/>
                <w:bCs/>
                <w:sz w:val="24"/>
                <w:lang w:val="en-US" w:eastAsia="en-GB"/>
              </w:rPr>
              <w:t xml:space="preserve"> 28 day </w:t>
            </w:r>
            <w:r w:rsidR="00FF1A6E" w:rsidRPr="00803E17">
              <w:rPr>
                <w:rFonts w:ascii="Arial" w:hAnsi="Arial" w:cs="Arial"/>
                <w:bCs/>
                <w:sz w:val="24"/>
                <w:lang w:val="en-US" w:eastAsia="en-GB"/>
              </w:rPr>
              <w:t>faster diagnosis standard</w:t>
            </w:r>
            <w:r w:rsidRPr="00803E17">
              <w:rPr>
                <w:rFonts w:ascii="Arial" w:hAnsi="Arial" w:cs="Arial"/>
                <w:bCs/>
                <w:sz w:val="24"/>
                <w:lang w:val="en-US" w:eastAsia="en-GB"/>
              </w:rPr>
              <w:t xml:space="preserve"> patient diagnosed in May</w:t>
            </w:r>
            <w:r w:rsidR="00FF1A6E" w:rsidRPr="00803E17">
              <w:rPr>
                <w:rFonts w:ascii="Arial" w:hAnsi="Arial" w:cs="Arial"/>
                <w:bCs/>
                <w:sz w:val="24"/>
                <w:lang w:val="en-US" w:eastAsia="en-GB"/>
              </w:rPr>
              <w:t>. This patient breached</w:t>
            </w:r>
            <w:r w:rsidRPr="00803E17">
              <w:rPr>
                <w:rFonts w:ascii="Arial" w:hAnsi="Arial" w:cs="Arial"/>
                <w:bCs/>
                <w:sz w:val="24"/>
                <w:lang w:val="en-US" w:eastAsia="en-GB"/>
              </w:rPr>
              <w:t xml:space="preserve"> the target due to the cancellation of </w:t>
            </w:r>
            <w:r w:rsidR="00FF1A6E" w:rsidRPr="00803E17">
              <w:rPr>
                <w:rFonts w:ascii="Arial" w:hAnsi="Arial" w:cs="Arial"/>
                <w:bCs/>
                <w:sz w:val="24"/>
                <w:lang w:val="en-US" w:eastAsia="en-GB"/>
              </w:rPr>
              <w:t xml:space="preserve">a </w:t>
            </w:r>
            <w:r w:rsidRPr="00803E17">
              <w:rPr>
                <w:rFonts w:ascii="Arial" w:hAnsi="Arial" w:cs="Arial"/>
                <w:bCs/>
                <w:sz w:val="24"/>
                <w:lang w:val="en-US" w:eastAsia="en-GB"/>
              </w:rPr>
              <w:t xml:space="preserve">diagnostic test due to COVID-19 </w:t>
            </w:r>
            <w:r w:rsidR="00097F1A" w:rsidRPr="00803E17">
              <w:rPr>
                <w:rFonts w:ascii="Arial" w:hAnsi="Arial" w:cs="Arial"/>
                <w:bCs/>
                <w:sz w:val="24"/>
                <w:lang w:val="en-US" w:eastAsia="en-GB"/>
              </w:rPr>
              <w:t xml:space="preserve">followed by </w:t>
            </w:r>
            <w:r w:rsidRPr="00803E17">
              <w:rPr>
                <w:rFonts w:ascii="Arial" w:hAnsi="Arial" w:cs="Arial"/>
                <w:bCs/>
                <w:sz w:val="24"/>
                <w:lang w:val="en-US" w:eastAsia="en-GB"/>
              </w:rPr>
              <w:t>a</w:t>
            </w:r>
            <w:r w:rsidR="00FF1A6E" w:rsidRPr="00803E17">
              <w:rPr>
                <w:rFonts w:ascii="Arial" w:hAnsi="Arial" w:cs="Arial"/>
                <w:bCs/>
                <w:sz w:val="24"/>
                <w:lang w:val="en-US" w:eastAsia="en-GB"/>
              </w:rPr>
              <w:t xml:space="preserve"> delay to further diagnostics due to </w:t>
            </w:r>
            <w:r w:rsidRPr="00803E17">
              <w:rPr>
                <w:rFonts w:ascii="Arial" w:hAnsi="Arial" w:cs="Arial"/>
                <w:bCs/>
                <w:sz w:val="24"/>
                <w:lang w:val="en-US" w:eastAsia="en-GB"/>
              </w:rPr>
              <w:t xml:space="preserve">a </w:t>
            </w:r>
            <w:r w:rsidR="00FF1A6E" w:rsidRPr="00803E17">
              <w:rPr>
                <w:rFonts w:ascii="Arial" w:hAnsi="Arial" w:cs="Arial"/>
                <w:bCs/>
                <w:sz w:val="24"/>
                <w:lang w:val="en-US" w:eastAsia="en-GB"/>
              </w:rPr>
              <w:t xml:space="preserve">COVID-19 (social distancing) related </w:t>
            </w:r>
            <w:r w:rsidRPr="00803E17">
              <w:rPr>
                <w:rFonts w:ascii="Arial" w:hAnsi="Arial" w:cs="Arial"/>
                <w:bCs/>
                <w:sz w:val="24"/>
                <w:lang w:val="en-US" w:eastAsia="en-GB"/>
              </w:rPr>
              <w:t>reduction in ca</w:t>
            </w:r>
            <w:r w:rsidR="00FF1A6E" w:rsidRPr="00803E17">
              <w:rPr>
                <w:rFonts w:ascii="Arial" w:hAnsi="Arial" w:cs="Arial"/>
                <w:bCs/>
                <w:sz w:val="24"/>
                <w:lang w:val="en-US" w:eastAsia="en-GB"/>
              </w:rPr>
              <w:t>pacity.</w:t>
            </w:r>
          </w:p>
        </w:tc>
      </w:tr>
      <w:tr w:rsidR="00C00C77" w:rsidRPr="00C00C77" w:rsidTr="00103278">
        <w:trPr>
          <w:trHeight w:val="638"/>
        </w:trPr>
        <w:tc>
          <w:tcPr>
            <w:tcW w:w="10065" w:type="dxa"/>
            <w:gridSpan w:val="7"/>
            <w:tcBorders>
              <w:top w:val="single" w:sz="4" w:space="0" w:color="808080" w:themeColor="background1" w:themeShade="80"/>
              <w:left w:val="single" w:sz="8" w:space="0" w:color="808080"/>
              <w:bottom w:val="single" w:sz="8" w:space="0" w:color="808080"/>
              <w:right w:val="single" w:sz="8" w:space="0" w:color="808080"/>
            </w:tcBorders>
            <w:tcMar>
              <w:top w:w="0" w:type="dxa"/>
              <w:left w:w="108" w:type="dxa"/>
              <w:bottom w:w="0" w:type="dxa"/>
              <w:right w:w="108" w:type="dxa"/>
            </w:tcMar>
          </w:tcPr>
          <w:p w:rsidR="00C00C77" w:rsidRPr="00803E17" w:rsidRDefault="00C00C77" w:rsidP="00103278">
            <w:pPr>
              <w:spacing w:before="80" w:after="80" w:line="240" w:lineRule="auto"/>
              <w:rPr>
                <w:rFonts w:ascii="Arial" w:hAnsi="Arial" w:cs="Arial"/>
                <w:sz w:val="24"/>
                <w:szCs w:val="24"/>
              </w:rPr>
            </w:pPr>
            <w:r w:rsidRPr="00803E17">
              <w:rPr>
                <w:rFonts w:ascii="Arial" w:hAnsi="Arial" w:cs="Arial"/>
                <w:b/>
                <w:bCs/>
                <w:sz w:val="24"/>
                <w:lang w:val="en-US" w:eastAsia="en-GB"/>
              </w:rPr>
              <w:lastRenderedPageBreak/>
              <w:t>Action Taken to improve compliance</w:t>
            </w:r>
          </w:p>
          <w:p w:rsidR="00C00C77" w:rsidRPr="00803E17" w:rsidRDefault="006A456E" w:rsidP="00103278">
            <w:pPr>
              <w:numPr>
                <w:ilvl w:val="0"/>
                <w:numId w:val="26"/>
              </w:numPr>
              <w:spacing w:line="240" w:lineRule="auto"/>
              <w:ind w:left="318" w:hanging="284"/>
              <w:contextualSpacing/>
              <w:jc w:val="both"/>
              <w:rPr>
                <w:rFonts w:ascii="Arial" w:hAnsi="Arial" w:cs="Arial"/>
                <w:sz w:val="24"/>
              </w:rPr>
            </w:pPr>
            <w:r w:rsidRPr="00803E17">
              <w:rPr>
                <w:rFonts w:ascii="Arial" w:hAnsi="Arial" w:cs="Arial"/>
                <w:sz w:val="24"/>
              </w:rPr>
              <w:t>The</w:t>
            </w:r>
            <w:r w:rsidR="00C00C77" w:rsidRPr="00803E17">
              <w:rPr>
                <w:rFonts w:ascii="Arial" w:hAnsi="Arial" w:cs="Arial"/>
                <w:sz w:val="24"/>
              </w:rPr>
              <w:t xml:space="preserve"> HO Deputy General Manager </w:t>
            </w:r>
            <w:r w:rsidRPr="00803E17">
              <w:rPr>
                <w:rFonts w:ascii="Arial" w:hAnsi="Arial" w:cs="Arial"/>
                <w:sz w:val="24"/>
              </w:rPr>
              <w:t>now attends</w:t>
            </w:r>
            <w:r w:rsidR="00C00C77" w:rsidRPr="00803E17">
              <w:rPr>
                <w:rFonts w:ascii="Arial" w:hAnsi="Arial" w:cs="Arial"/>
                <w:sz w:val="24"/>
              </w:rPr>
              <w:t xml:space="preserve"> </w:t>
            </w:r>
            <w:r w:rsidRPr="00803E17">
              <w:rPr>
                <w:rFonts w:ascii="Arial" w:hAnsi="Arial" w:cs="Arial"/>
                <w:sz w:val="24"/>
              </w:rPr>
              <w:t xml:space="preserve">both </w:t>
            </w:r>
            <w:r w:rsidR="00C00C77" w:rsidRPr="00803E17">
              <w:rPr>
                <w:rFonts w:ascii="Arial" w:hAnsi="Arial" w:cs="Arial"/>
                <w:sz w:val="24"/>
              </w:rPr>
              <w:t xml:space="preserve">weekly PTL and </w:t>
            </w:r>
            <w:r w:rsidRPr="00803E17">
              <w:rPr>
                <w:rFonts w:ascii="Arial" w:hAnsi="Arial" w:cs="Arial"/>
                <w:sz w:val="24"/>
              </w:rPr>
              <w:t xml:space="preserve">CWT Target Operational Group </w:t>
            </w:r>
            <w:r w:rsidR="00C00C77" w:rsidRPr="00803E17">
              <w:rPr>
                <w:rFonts w:ascii="Arial" w:hAnsi="Arial" w:cs="Arial"/>
                <w:sz w:val="24"/>
              </w:rPr>
              <w:t>meetings</w:t>
            </w:r>
            <w:r w:rsidR="00B32EDC" w:rsidRPr="00803E17">
              <w:rPr>
                <w:rFonts w:ascii="Arial" w:hAnsi="Arial" w:cs="Arial"/>
                <w:sz w:val="24"/>
              </w:rPr>
              <w:t xml:space="preserve"> to ensure all escalations are actioned</w:t>
            </w:r>
            <w:r w:rsidRPr="00803E17">
              <w:rPr>
                <w:rFonts w:ascii="Arial" w:hAnsi="Arial" w:cs="Arial"/>
                <w:sz w:val="24"/>
              </w:rPr>
              <w:t>.</w:t>
            </w:r>
            <w:r w:rsidR="00C00C77" w:rsidRPr="00803E17">
              <w:rPr>
                <w:rFonts w:ascii="Arial" w:hAnsi="Arial" w:cs="Arial"/>
                <w:sz w:val="24"/>
              </w:rPr>
              <w:t xml:space="preserve"> </w:t>
            </w:r>
          </w:p>
          <w:p w:rsidR="00103278" w:rsidRPr="00C549B2" w:rsidRDefault="00103278" w:rsidP="00103278">
            <w:pPr>
              <w:spacing w:line="240" w:lineRule="auto"/>
              <w:ind w:left="34"/>
              <w:contextualSpacing/>
              <w:jc w:val="both"/>
              <w:rPr>
                <w:rFonts w:ascii="Arial" w:hAnsi="Arial" w:cs="Arial"/>
                <w:sz w:val="12"/>
                <w:szCs w:val="12"/>
              </w:rPr>
            </w:pPr>
          </w:p>
          <w:p w:rsidR="00D923BD" w:rsidRPr="00803E17" w:rsidRDefault="00D923BD" w:rsidP="00103278">
            <w:pPr>
              <w:numPr>
                <w:ilvl w:val="0"/>
                <w:numId w:val="26"/>
              </w:numPr>
              <w:spacing w:line="240" w:lineRule="auto"/>
              <w:ind w:left="318" w:hanging="284"/>
              <w:contextualSpacing/>
              <w:jc w:val="both"/>
              <w:rPr>
                <w:rFonts w:ascii="Arial" w:hAnsi="Arial" w:cs="Arial"/>
                <w:sz w:val="24"/>
              </w:rPr>
            </w:pPr>
            <w:r w:rsidRPr="00803E17">
              <w:rPr>
                <w:rFonts w:ascii="Arial" w:hAnsi="Arial" w:cs="Arial"/>
                <w:bCs/>
                <w:sz w:val="24"/>
              </w:rPr>
              <w:t xml:space="preserve">The </w:t>
            </w:r>
            <w:r w:rsidR="00C00C77" w:rsidRPr="00803E17">
              <w:rPr>
                <w:rFonts w:ascii="Arial" w:hAnsi="Arial" w:cs="Arial"/>
                <w:bCs/>
                <w:sz w:val="24"/>
              </w:rPr>
              <w:t xml:space="preserve">HO service </w:t>
            </w:r>
            <w:r w:rsidR="009F1F59" w:rsidRPr="00803E17">
              <w:rPr>
                <w:rFonts w:ascii="Arial" w:hAnsi="Arial" w:cs="Arial"/>
                <w:bCs/>
                <w:sz w:val="24"/>
              </w:rPr>
              <w:t>has</w:t>
            </w:r>
            <w:r w:rsidR="00C00C77" w:rsidRPr="00803E17">
              <w:rPr>
                <w:rFonts w:ascii="Arial" w:hAnsi="Arial" w:cs="Arial"/>
                <w:bCs/>
                <w:sz w:val="24"/>
              </w:rPr>
              <w:t xml:space="preserve"> review</w:t>
            </w:r>
            <w:r w:rsidRPr="00803E17">
              <w:rPr>
                <w:rFonts w:ascii="Arial" w:hAnsi="Arial" w:cs="Arial"/>
                <w:bCs/>
                <w:sz w:val="24"/>
              </w:rPr>
              <w:t>ed</w:t>
            </w:r>
            <w:r w:rsidR="00C00C77" w:rsidRPr="00803E17">
              <w:rPr>
                <w:rFonts w:ascii="Arial" w:hAnsi="Arial" w:cs="Arial"/>
                <w:bCs/>
                <w:sz w:val="24"/>
              </w:rPr>
              <w:t xml:space="preserve"> processes and develop</w:t>
            </w:r>
            <w:r w:rsidRPr="00803E17">
              <w:rPr>
                <w:rFonts w:ascii="Arial" w:hAnsi="Arial" w:cs="Arial"/>
                <w:bCs/>
                <w:sz w:val="24"/>
              </w:rPr>
              <w:t>ed</w:t>
            </w:r>
            <w:r w:rsidR="00C00C77" w:rsidRPr="00803E17">
              <w:rPr>
                <w:rFonts w:ascii="Arial" w:hAnsi="Arial" w:cs="Arial"/>
                <w:bCs/>
                <w:sz w:val="24"/>
              </w:rPr>
              <w:t xml:space="preserve"> an action plan for </w:t>
            </w:r>
            <w:r w:rsidR="00C25916" w:rsidRPr="00803E17">
              <w:rPr>
                <w:rFonts w:ascii="Arial" w:hAnsi="Arial" w:cs="Arial"/>
                <w:bCs/>
                <w:sz w:val="24"/>
              </w:rPr>
              <w:t xml:space="preserve">managing the diagnostic pathway. </w:t>
            </w:r>
            <w:r w:rsidRPr="00803E17">
              <w:rPr>
                <w:rFonts w:ascii="Arial" w:hAnsi="Arial" w:cs="Arial"/>
                <w:bCs/>
                <w:sz w:val="24"/>
              </w:rPr>
              <w:t>This plan will be reviewed at the CWT Target Operational Group on 19</w:t>
            </w:r>
            <w:r w:rsidRPr="00803E17">
              <w:rPr>
                <w:rFonts w:ascii="Arial" w:hAnsi="Arial" w:cs="Arial"/>
                <w:bCs/>
                <w:sz w:val="24"/>
                <w:vertAlign w:val="superscript"/>
              </w:rPr>
              <w:t>th</w:t>
            </w:r>
            <w:r w:rsidR="00103278" w:rsidRPr="00803E17">
              <w:rPr>
                <w:rFonts w:ascii="Arial" w:hAnsi="Arial" w:cs="Arial"/>
                <w:bCs/>
                <w:sz w:val="24"/>
              </w:rPr>
              <w:t> </w:t>
            </w:r>
            <w:r w:rsidRPr="00803E17">
              <w:rPr>
                <w:rFonts w:ascii="Arial" w:hAnsi="Arial" w:cs="Arial"/>
                <w:bCs/>
                <w:sz w:val="24"/>
              </w:rPr>
              <w:t xml:space="preserve">June 2020. </w:t>
            </w:r>
            <w:r w:rsidR="00D05DF8" w:rsidRPr="00803E17">
              <w:rPr>
                <w:rFonts w:ascii="Arial" w:hAnsi="Arial" w:cs="Arial"/>
                <w:bCs/>
                <w:sz w:val="24"/>
              </w:rPr>
              <w:t>Timed pathways have been developed for Myeloma, Lymphoma. The leukaemia pathway is in progress. These timed pathways are in line with cancer waiting times.</w:t>
            </w:r>
            <w:r w:rsidRPr="00803E17">
              <w:rPr>
                <w:rFonts w:ascii="Arial" w:hAnsi="Arial" w:cs="Arial"/>
                <w:bCs/>
                <w:sz w:val="24"/>
              </w:rPr>
              <w:t xml:space="preserve"> </w:t>
            </w:r>
            <w:r w:rsidR="00D05DF8" w:rsidRPr="00803E17">
              <w:rPr>
                <w:rFonts w:ascii="Arial" w:hAnsi="Arial" w:cs="Arial"/>
                <w:bCs/>
                <w:sz w:val="24"/>
              </w:rPr>
              <w:t xml:space="preserve">It is the intention that </w:t>
            </w:r>
            <w:r w:rsidRPr="00803E17">
              <w:rPr>
                <w:rFonts w:ascii="Arial" w:hAnsi="Arial" w:cs="Arial"/>
                <w:bCs/>
                <w:sz w:val="24"/>
              </w:rPr>
              <w:t xml:space="preserve">the </w:t>
            </w:r>
            <w:r w:rsidR="00D05DF8" w:rsidRPr="00803E17">
              <w:rPr>
                <w:rFonts w:ascii="Arial" w:hAnsi="Arial" w:cs="Arial"/>
                <w:bCs/>
                <w:sz w:val="24"/>
              </w:rPr>
              <w:t>patient journey will be aligned and t</w:t>
            </w:r>
            <w:r w:rsidRPr="00803E17">
              <w:rPr>
                <w:rFonts w:ascii="Arial" w:hAnsi="Arial" w:cs="Arial"/>
                <w:bCs/>
                <w:sz w:val="24"/>
              </w:rPr>
              <w:t xml:space="preserve">racked </w:t>
            </w:r>
            <w:r w:rsidR="00D05DF8" w:rsidRPr="00803E17">
              <w:rPr>
                <w:rFonts w:ascii="Arial" w:hAnsi="Arial" w:cs="Arial"/>
                <w:bCs/>
                <w:sz w:val="24"/>
              </w:rPr>
              <w:t>against these pathways by the MDT coordina</w:t>
            </w:r>
            <w:r w:rsidRPr="00803E17">
              <w:rPr>
                <w:rFonts w:ascii="Arial" w:hAnsi="Arial" w:cs="Arial"/>
                <w:bCs/>
                <w:sz w:val="24"/>
              </w:rPr>
              <w:t>tor. This will enable further identification</w:t>
            </w:r>
            <w:r w:rsidR="00D05DF8" w:rsidRPr="00803E17">
              <w:rPr>
                <w:rFonts w:ascii="Arial" w:hAnsi="Arial" w:cs="Arial"/>
                <w:bCs/>
                <w:sz w:val="24"/>
              </w:rPr>
              <w:t xml:space="preserve"> of any system delays as well as proving clear guidelines of escalation to the directorate team in order for them to address /mitigate</w:t>
            </w:r>
            <w:r w:rsidRPr="00803E17">
              <w:rPr>
                <w:rFonts w:ascii="Arial" w:hAnsi="Arial" w:cs="Arial"/>
                <w:bCs/>
                <w:sz w:val="24"/>
              </w:rPr>
              <w:t xml:space="preserve"> issues. </w:t>
            </w:r>
          </w:p>
          <w:p w:rsidR="00D923BD" w:rsidRPr="00C549B2" w:rsidRDefault="00D923BD" w:rsidP="00D923BD">
            <w:pPr>
              <w:spacing w:line="240" w:lineRule="auto"/>
              <w:ind w:left="720"/>
              <w:contextualSpacing/>
              <w:jc w:val="both"/>
              <w:rPr>
                <w:rFonts w:ascii="Arial" w:hAnsi="Arial" w:cs="Arial"/>
                <w:sz w:val="12"/>
                <w:szCs w:val="12"/>
              </w:rPr>
            </w:pPr>
          </w:p>
        </w:tc>
      </w:tr>
      <w:tr w:rsidR="00103278" w:rsidRPr="00C00C77" w:rsidTr="00803E17">
        <w:trPr>
          <w:gridAfter w:val="1"/>
          <w:wAfter w:w="17" w:type="dxa"/>
          <w:trHeight w:hRule="exact" w:val="425"/>
        </w:trPr>
        <w:tc>
          <w:tcPr>
            <w:tcW w:w="3545" w:type="dxa"/>
            <w:tcBorders>
              <w:top w:val="nil"/>
              <w:left w:val="single" w:sz="8" w:space="0" w:color="808080"/>
              <w:bottom w:val="single" w:sz="8" w:space="0" w:color="808080"/>
              <w:right w:val="single" w:sz="8" w:space="0" w:color="808080"/>
            </w:tcBorders>
            <w:tcMar>
              <w:top w:w="0" w:type="dxa"/>
              <w:left w:w="108" w:type="dxa"/>
              <w:bottom w:w="0" w:type="dxa"/>
              <w:right w:w="108" w:type="dxa"/>
            </w:tcMar>
            <w:vAlign w:val="center"/>
            <w:hideMark/>
          </w:tcPr>
          <w:p w:rsidR="00103278" w:rsidRPr="00803E17" w:rsidRDefault="00103278" w:rsidP="00103278">
            <w:pPr>
              <w:spacing w:after="0" w:line="240" w:lineRule="auto"/>
              <w:rPr>
                <w:rFonts w:ascii="Arial" w:hAnsi="Arial" w:cs="Arial"/>
                <w:b/>
                <w:bCs/>
                <w:sz w:val="24"/>
                <w:lang w:val="en-US" w:eastAsia="en-GB"/>
              </w:rPr>
            </w:pPr>
            <w:r w:rsidRPr="00803E17">
              <w:rPr>
                <w:rFonts w:ascii="Arial" w:hAnsi="Arial" w:cs="Arial"/>
                <w:b/>
                <w:bCs/>
                <w:sz w:val="24"/>
                <w:lang w:val="en-US" w:eastAsia="en-GB"/>
              </w:rPr>
              <w:t>Expected date of compliance</w:t>
            </w:r>
          </w:p>
        </w:tc>
        <w:tc>
          <w:tcPr>
            <w:tcW w:w="6503" w:type="dxa"/>
            <w:gridSpan w:val="5"/>
            <w:tcBorders>
              <w:top w:val="nil"/>
              <w:left w:val="nil"/>
              <w:bottom w:val="single" w:sz="8" w:space="0" w:color="808080"/>
              <w:right w:val="single" w:sz="8" w:space="0" w:color="808080"/>
            </w:tcBorders>
            <w:tcMar>
              <w:top w:w="0" w:type="dxa"/>
              <w:left w:w="108" w:type="dxa"/>
              <w:bottom w:w="0" w:type="dxa"/>
              <w:right w:w="108" w:type="dxa"/>
            </w:tcMar>
            <w:vAlign w:val="center"/>
            <w:hideMark/>
          </w:tcPr>
          <w:p w:rsidR="00103278" w:rsidRPr="00803E17" w:rsidRDefault="00103278" w:rsidP="00103278">
            <w:pPr>
              <w:spacing w:after="0" w:line="240" w:lineRule="auto"/>
              <w:rPr>
                <w:rFonts w:ascii="Arial" w:hAnsi="Arial" w:cs="Arial"/>
                <w:sz w:val="24"/>
                <w:lang w:val="en-US"/>
              </w:rPr>
            </w:pPr>
            <w:r w:rsidRPr="00803E17">
              <w:rPr>
                <w:rFonts w:ascii="Arial" w:hAnsi="Arial" w:cs="Arial"/>
                <w:sz w:val="24"/>
                <w:lang w:val="en-US"/>
              </w:rPr>
              <w:t>July 2020</w:t>
            </w:r>
          </w:p>
        </w:tc>
      </w:tr>
      <w:tr w:rsidR="00103278" w:rsidRPr="00C00C77" w:rsidTr="00803E17">
        <w:trPr>
          <w:gridAfter w:val="1"/>
          <w:wAfter w:w="17" w:type="dxa"/>
          <w:trHeight w:hRule="exact" w:val="647"/>
        </w:trPr>
        <w:tc>
          <w:tcPr>
            <w:tcW w:w="3545" w:type="dxa"/>
            <w:tcBorders>
              <w:top w:val="nil"/>
              <w:left w:val="single" w:sz="8" w:space="0" w:color="808080"/>
              <w:bottom w:val="single" w:sz="8" w:space="0" w:color="808080"/>
              <w:right w:val="single" w:sz="8" w:space="0" w:color="808080"/>
            </w:tcBorders>
            <w:tcMar>
              <w:top w:w="0" w:type="dxa"/>
              <w:left w:w="108" w:type="dxa"/>
              <w:bottom w:w="0" w:type="dxa"/>
              <w:right w:w="108" w:type="dxa"/>
            </w:tcMar>
            <w:vAlign w:val="center"/>
            <w:hideMark/>
          </w:tcPr>
          <w:p w:rsidR="00103278" w:rsidRPr="00803E17" w:rsidRDefault="00103278" w:rsidP="00103278">
            <w:pPr>
              <w:spacing w:after="0" w:line="240" w:lineRule="auto"/>
              <w:rPr>
                <w:rFonts w:ascii="Arial" w:hAnsi="Arial" w:cs="Arial"/>
                <w:b/>
                <w:bCs/>
                <w:sz w:val="24"/>
                <w:lang w:val="en-US" w:eastAsia="en-GB"/>
              </w:rPr>
            </w:pPr>
            <w:r w:rsidRPr="00803E17">
              <w:rPr>
                <w:rFonts w:ascii="Arial" w:hAnsi="Arial" w:cs="Arial"/>
                <w:b/>
                <w:bCs/>
                <w:sz w:val="24"/>
                <w:lang w:val="en-US" w:eastAsia="en-GB"/>
              </w:rPr>
              <w:t>Escalation route</w:t>
            </w:r>
          </w:p>
        </w:tc>
        <w:tc>
          <w:tcPr>
            <w:tcW w:w="6503" w:type="dxa"/>
            <w:gridSpan w:val="5"/>
            <w:tcBorders>
              <w:top w:val="nil"/>
              <w:left w:val="nil"/>
              <w:bottom w:val="single" w:sz="8" w:space="0" w:color="808080"/>
              <w:right w:val="single" w:sz="8" w:space="0" w:color="808080"/>
            </w:tcBorders>
            <w:tcMar>
              <w:top w:w="0" w:type="dxa"/>
              <w:left w:w="108" w:type="dxa"/>
              <w:bottom w:w="0" w:type="dxa"/>
              <w:right w:w="108" w:type="dxa"/>
            </w:tcMar>
            <w:vAlign w:val="center"/>
            <w:hideMark/>
          </w:tcPr>
          <w:p w:rsidR="00103278" w:rsidRPr="00803E17" w:rsidRDefault="00103278" w:rsidP="00803E17">
            <w:pPr>
              <w:spacing w:after="0" w:line="240" w:lineRule="auto"/>
              <w:rPr>
                <w:rFonts w:ascii="Arial" w:hAnsi="Arial" w:cs="Arial"/>
                <w:sz w:val="24"/>
                <w:lang w:val="en-US" w:eastAsia="en-GB"/>
              </w:rPr>
            </w:pPr>
            <w:r w:rsidRPr="00803E17">
              <w:rPr>
                <w:rFonts w:ascii="Arial" w:hAnsi="Arial" w:cs="Arial"/>
                <w:sz w:val="24"/>
                <w:lang w:val="en-US" w:eastAsia="en-GB"/>
              </w:rPr>
              <w:t xml:space="preserve">CWT Target Operational Group / </w:t>
            </w:r>
            <w:r w:rsidR="00803E17">
              <w:rPr>
                <w:rFonts w:ascii="Arial" w:hAnsi="Arial" w:cs="Arial"/>
                <w:sz w:val="24"/>
                <w:lang w:val="en-US" w:eastAsia="en-GB"/>
              </w:rPr>
              <w:t xml:space="preserve">Directorate Performance Reviews and </w:t>
            </w:r>
            <w:r w:rsidRPr="00803E17">
              <w:rPr>
                <w:rFonts w:ascii="Arial" w:hAnsi="Arial" w:cs="Arial"/>
                <w:sz w:val="24"/>
                <w:lang w:val="en-US" w:eastAsia="en-GB"/>
              </w:rPr>
              <w:t xml:space="preserve">Performance Committee / </w:t>
            </w:r>
            <w:r w:rsidRPr="00803E17">
              <w:rPr>
                <w:rFonts w:ascii="Arial" w:hAnsi="Arial" w:cs="Arial"/>
                <w:sz w:val="24"/>
                <w:szCs w:val="20"/>
                <w:lang w:val="en-US" w:eastAsia="en-GB"/>
              </w:rPr>
              <w:t>Board of Directors</w:t>
            </w:r>
          </w:p>
        </w:tc>
      </w:tr>
      <w:tr w:rsidR="00103278" w:rsidRPr="00C00C77" w:rsidTr="00803E17">
        <w:trPr>
          <w:gridAfter w:val="1"/>
          <w:wAfter w:w="17" w:type="dxa"/>
          <w:trHeight w:hRule="exact" w:val="425"/>
        </w:trPr>
        <w:tc>
          <w:tcPr>
            <w:tcW w:w="3545" w:type="dxa"/>
            <w:tcBorders>
              <w:top w:val="nil"/>
              <w:left w:val="single" w:sz="8" w:space="0" w:color="808080"/>
              <w:bottom w:val="single" w:sz="8" w:space="0" w:color="808080"/>
              <w:right w:val="single" w:sz="8" w:space="0" w:color="808080"/>
            </w:tcBorders>
            <w:tcMar>
              <w:top w:w="0" w:type="dxa"/>
              <w:left w:w="108" w:type="dxa"/>
              <w:bottom w:w="0" w:type="dxa"/>
              <w:right w:w="108" w:type="dxa"/>
            </w:tcMar>
            <w:vAlign w:val="center"/>
            <w:hideMark/>
          </w:tcPr>
          <w:p w:rsidR="00103278" w:rsidRPr="00803E17" w:rsidRDefault="00103278" w:rsidP="00103278">
            <w:pPr>
              <w:spacing w:after="0" w:line="240" w:lineRule="auto"/>
              <w:rPr>
                <w:rFonts w:ascii="Arial" w:hAnsi="Arial" w:cs="Arial"/>
                <w:b/>
                <w:bCs/>
                <w:sz w:val="24"/>
                <w:lang w:val="en-US" w:eastAsia="en-GB"/>
              </w:rPr>
            </w:pPr>
            <w:r w:rsidRPr="00803E17">
              <w:rPr>
                <w:rFonts w:ascii="Arial" w:hAnsi="Arial" w:cs="Arial"/>
                <w:b/>
                <w:bCs/>
                <w:sz w:val="24"/>
                <w:lang w:val="en-US" w:eastAsia="en-GB"/>
              </w:rPr>
              <w:t>Executive Lead</w:t>
            </w:r>
          </w:p>
        </w:tc>
        <w:tc>
          <w:tcPr>
            <w:tcW w:w="6503" w:type="dxa"/>
            <w:gridSpan w:val="5"/>
            <w:tcBorders>
              <w:top w:val="nil"/>
              <w:left w:val="nil"/>
              <w:bottom w:val="single" w:sz="8" w:space="0" w:color="808080"/>
              <w:right w:val="single" w:sz="8" w:space="0" w:color="808080"/>
            </w:tcBorders>
            <w:tcMar>
              <w:top w:w="0" w:type="dxa"/>
              <w:left w:w="108" w:type="dxa"/>
              <w:bottom w:w="0" w:type="dxa"/>
              <w:right w:w="108" w:type="dxa"/>
            </w:tcMar>
            <w:vAlign w:val="center"/>
            <w:hideMark/>
          </w:tcPr>
          <w:p w:rsidR="00103278" w:rsidRPr="00803E17" w:rsidRDefault="00103278" w:rsidP="00103278">
            <w:pPr>
              <w:spacing w:after="0" w:line="240" w:lineRule="auto"/>
              <w:rPr>
                <w:rFonts w:ascii="Arial" w:hAnsi="Arial" w:cs="Arial"/>
                <w:sz w:val="24"/>
                <w:lang w:val="en-US" w:eastAsia="en-GB"/>
              </w:rPr>
            </w:pPr>
            <w:r w:rsidRPr="00803E17">
              <w:rPr>
                <w:rFonts w:ascii="Arial" w:hAnsi="Arial" w:cs="Arial"/>
                <w:sz w:val="24"/>
                <w:lang w:val="en-US" w:eastAsia="en-GB"/>
              </w:rPr>
              <w:t>Joan Spencer, Director of Operations</w:t>
            </w:r>
          </w:p>
        </w:tc>
      </w:tr>
    </w:tbl>
    <w:p w:rsidR="00C00C77" w:rsidRPr="00C549B2" w:rsidRDefault="00C00C77" w:rsidP="00B87F1A">
      <w:pPr>
        <w:spacing w:after="0" w:line="240" w:lineRule="auto"/>
        <w:ind w:left="-426"/>
        <w:jc w:val="both"/>
        <w:rPr>
          <w:rFonts w:ascii="Arial" w:eastAsia="Calibri" w:hAnsi="Arial" w:cs="Arial"/>
          <w:bCs/>
          <w:sz w:val="20"/>
          <w:szCs w:val="20"/>
        </w:rPr>
      </w:pPr>
    </w:p>
    <w:p w:rsidR="00C00C77" w:rsidRPr="00C549B2" w:rsidRDefault="00C00C77" w:rsidP="00B87F1A">
      <w:pPr>
        <w:spacing w:after="0" w:line="240" w:lineRule="auto"/>
        <w:ind w:left="-426"/>
        <w:jc w:val="both"/>
        <w:rPr>
          <w:rFonts w:ascii="Arial" w:eastAsia="Calibri" w:hAnsi="Arial" w:cs="Arial"/>
          <w:bCs/>
          <w:sz w:val="20"/>
          <w:szCs w:val="20"/>
        </w:rPr>
      </w:pPr>
    </w:p>
    <w:p w:rsidR="00076F09" w:rsidRPr="00AE798A" w:rsidRDefault="00097A70" w:rsidP="00905D2D">
      <w:pPr>
        <w:spacing w:after="0" w:line="240" w:lineRule="auto"/>
        <w:ind w:left="-426"/>
        <w:jc w:val="both"/>
        <w:rPr>
          <w:rFonts w:ascii="Arial" w:eastAsia="Calibri" w:hAnsi="Arial" w:cs="Arial"/>
          <w:b/>
          <w:bCs/>
          <w:sz w:val="32"/>
          <w:szCs w:val="24"/>
        </w:rPr>
      </w:pPr>
      <w:r w:rsidRPr="00AE798A">
        <w:rPr>
          <w:rFonts w:ascii="Arial" w:eastAsia="Calibri" w:hAnsi="Arial" w:cs="Arial"/>
          <w:b/>
          <w:bCs/>
          <w:sz w:val="32"/>
          <w:szCs w:val="24"/>
        </w:rPr>
        <w:t xml:space="preserve">2.2 </w:t>
      </w:r>
      <w:r w:rsidR="00076F09" w:rsidRPr="00AE798A">
        <w:rPr>
          <w:rFonts w:ascii="Arial" w:eastAsia="Calibri" w:hAnsi="Arial" w:cs="Arial"/>
          <w:b/>
          <w:bCs/>
          <w:sz w:val="32"/>
          <w:szCs w:val="24"/>
        </w:rPr>
        <w:t>Efficiency</w:t>
      </w:r>
    </w:p>
    <w:p w:rsidR="00FC2ED0" w:rsidRPr="00C549B2" w:rsidRDefault="00FC2ED0" w:rsidP="00905D2D">
      <w:pPr>
        <w:spacing w:after="0" w:line="240" w:lineRule="auto"/>
        <w:ind w:left="-426"/>
        <w:jc w:val="both"/>
        <w:rPr>
          <w:rFonts w:ascii="Arial" w:eastAsia="Calibri" w:hAnsi="Arial" w:cs="Arial"/>
          <w:b/>
          <w:bCs/>
          <w:sz w:val="20"/>
          <w:szCs w:val="20"/>
          <w:highlight w:val="yellow"/>
        </w:rPr>
      </w:pPr>
    </w:p>
    <w:tbl>
      <w:tblPr>
        <w:tblW w:w="10065" w:type="dxa"/>
        <w:tblInd w:w="-318" w:type="dxa"/>
        <w:tblCellMar>
          <w:left w:w="85" w:type="dxa"/>
          <w:right w:w="0" w:type="dxa"/>
        </w:tblCellMar>
        <w:tblLook w:val="04A0" w:firstRow="1" w:lastRow="0" w:firstColumn="1" w:lastColumn="0" w:noHBand="0" w:noVBand="1"/>
      </w:tblPr>
      <w:tblGrid>
        <w:gridCol w:w="2433"/>
        <w:gridCol w:w="1254"/>
        <w:gridCol w:w="1547"/>
        <w:gridCol w:w="839"/>
        <w:gridCol w:w="914"/>
        <w:gridCol w:w="820"/>
        <w:gridCol w:w="2258"/>
      </w:tblGrid>
      <w:tr w:rsidR="00192640" w:rsidRPr="00CE2280" w:rsidTr="00DA1D5E">
        <w:trPr>
          <w:trHeight w:hRule="exact" w:val="448"/>
        </w:trPr>
        <w:tc>
          <w:tcPr>
            <w:tcW w:w="2433" w:type="dxa"/>
            <w:vMerge w:val="restart"/>
            <w:tcBorders>
              <w:top w:val="single" w:sz="8" w:space="0" w:color="808080"/>
              <w:left w:val="single" w:sz="8" w:space="0" w:color="808080"/>
              <w:right w:val="single" w:sz="8" w:space="0" w:color="808080"/>
            </w:tcBorders>
            <w:shd w:val="clear" w:color="auto" w:fill="4F81BD"/>
            <w:tcMar>
              <w:top w:w="0" w:type="dxa"/>
              <w:left w:w="108" w:type="dxa"/>
              <w:bottom w:w="0" w:type="dxa"/>
              <w:right w:w="108" w:type="dxa"/>
            </w:tcMar>
            <w:hideMark/>
          </w:tcPr>
          <w:p w:rsidR="00192640" w:rsidRDefault="00192640" w:rsidP="00192640">
            <w:pPr>
              <w:spacing w:after="0" w:line="240" w:lineRule="auto"/>
              <w:rPr>
                <w:rFonts w:ascii="Arial" w:hAnsi="Arial" w:cs="Arial"/>
                <w:b/>
                <w:bCs/>
                <w:color w:val="FFFFFF"/>
                <w:sz w:val="28"/>
                <w:szCs w:val="40"/>
                <w:lang w:val="en-US"/>
              </w:rPr>
            </w:pPr>
          </w:p>
          <w:p w:rsidR="00192640" w:rsidRPr="00CE2280" w:rsidRDefault="00192640" w:rsidP="0084242F">
            <w:pPr>
              <w:rPr>
                <w:rFonts w:ascii="Arial" w:hAnsi="Arial" w:cs="Arial"/>
                <w:b/>
                <w:bCs/>
                <w:color w:val="FFFFFF"/>
                <w:sz w:val="32"/>
                <w:lang w:val="en-US"/>
              </w:rPr>
            </w:pPr>
            <w:r w:rsidRPr="00123998">
              <w:rPr>
                <w:rFonts w:ascii="Arial" w:hAnsi="Arial" w:cs="Arial"/>
                <w:b/>
                <w:bCs/>
                <w:color w:val="FFFFFF"/>
                <w:sz w:val="24"/>
                <w:szCs w:val="40"/>
                <w:lang w:val="en-US"/>
              </w:rPr>
              <w:t>Bed Occupancy: CCCW</w:t>
            </w:r>
          </w:p>
        </w:tc>
        <w:tc>
          <w:tcPr>
            <w:tcW w:w="2801" w:type="dxa"/>
            <w:gridSpan w:val="2"/>
            <w:tcBorders>
              <w:top w:val="single" w:sz="8" w:space="0" w:color="808080"/>
              <w:left w:val="single" w:sz="8" w:space="0" w:color="808080"/>
              <w:bottom w:val="single" w:sz="8" w:space="0" w:color="808080"/>
              <w:right w:val="single" w:sz="8" w:space="0" w:color="808080"/>
            </w:tcBorders>
            <w:shd w:val="clear" w:color="auto" w:fill="auto"/>
            <w:vAlign w:val="center"/>
          </w:tcPr>
          <w:p w:rsidR="00192640" w:rsidRPr="001F14F2" w:rsidRDefault="00192640" w:rsidP="00192640">
            <w:pPr>
              <w:spacing w:after="0" w:line="240" w:lineRule="auto"/>
              <w:rPr>
                <w:rFonts w:ascii="Arial" w:hAnsi="Arial" w:cs="Arial"/>
                <w:b/>
                <w:bCs/>
                <w:sz w:val="24"/>
                <w:lang w:val="en-US"/>
              </w:rPr>
            </w:pPr>
            <w:r w:rsidRPr="001F14F2">
              <w:rPr>
                <w:rFonts w:ascii="Arial" w:hAnsi="Arial" w:cs="Arial"/>
                <w:b/>
                <w:bCs/>
                <w:sz w:val="24"/>
                <w:lang w:val="en-US"/>
              </w:rPr>
              <w:t>KPI</w:t>
            </w:r>
          </w:p>
        </w:tc>
        <w:tc>
          <w:tcPr>
            <w:tcW w:w="839" w:type="dxa"/>
            <w:tcBorders>
              <w:top w:val="single" w:sz="8" w:space="0" w:color="808080"/>
              <w:left w:val="nil"/>
              <w:bottom w:val="single" w:sz="8" w:space="0" w:color="808080"/>
              <w:right w:val="single" w:sz="8" w:space="0" w:color="808080"/>
            </w:tcBorders>
            <w:vAlign w:val="center"/>
            <w:hideMark/>
          </w:tcPr>
          <w:p w:rsidR="00192640" w:rsidRPr="00CE2280" w:rsidRDefault="00192640" w:rsidP="00192640">
            <w:pPr>
              <w:spacing w:after="0" w:line="240" w:lineRule="auto"/>
              <w:rPr>
                <w:rFonts w:ascii="Arial" w:hAnsi="Arial" w:cs="Arial"/>
                <w:b/>
                <w:bCs/>
                <w:lang w:val="en-US"/>
              </w:rPr>
            </w:pPr>
            <w:r w:rsidRPr="00CE2280">
              <w:rPr>
                <w:rFonts w:ascii="Arial" w:hAnsi="Arial" w:cs="Arial"/>
                <w:b/>
                <w:bCs/>
                <w:lang w:val="en-US"/>
              </w:rPr>
              <w:t>Target</w:t>
            </w:r>
          </w:p>
        </w:tc>
        <w:tc>
          <w:tcPr>
            <w:tcW w:w="914" w:type="dxa"/>
            <w:tcBorders>
              <w:top w:val="single" w:sz="8" w:space="0" w:color="808080"/>
              <w:left w:val="nil"/>
              <w:bottom w:val="single" w:sz="8" w:space="0" w:color="808080"/>
              <w:right w:val="single" w:sz="8" w:space="0" w:color="808080"/>
            </w:tcBorders>
            <w:vAlign w:val="center"/>
            <w:hideMark/>
          </w:tcPr>
          <w:p w:rsidR="00192640" w:rsidRPr="00CE2280" w:rsidRDefault="0084242F" w:rsidP="00192640">
            <w:pPr>
              <w:spacing w:after="0" w:line="240" w:lineRule="auto"/>
              <w:rPr>
                <w:rFonts w:ascii="Arial" w:hAnsi="Arial" w:cs="Arial"/>
                <w:b/>
                <w:bCs/>
                <w:lang w:val="en-US"/>
              </w:rPr>
            </w:pPr>
            <w:r>
              <w:rPr>
                <w:rFonts w:ascii="Arial" w:hAnsi="Arial" w:cs="Arial"/>
                <w:b/>
                <w:bCs/>
                <w:lang w:val="en-US"/>
              </w:rPr>
              <w:t>May</w:t>
            </w:r>
            <w:r w:rsidR="00192640">
              <w:rPr>
                <w:rFonts w:ascii="Arial" w:hAnsi="Arial" w:cs="Arial"/>
                <w:b/>
                <w:bCs/>
                <w:lang w:val="en-US"/>
              </w:rPr>
              <w:t xml:space="preserve"> </w:t>
            </w:r>
            <w:r w:rsidR="00192640" w:rsidRPr="00CE2280">
              <w:rPr>
                <w:rFonts w:ascii="Arial" w:hAnsi="Arial" w:cs="Arial"/>
                <w:b/>
                <w:bCs/>
                <w:lang w:val="en-US"/>
              </w:rPr>
              <w:t>20</w:t>
            </w:r>
          </w:p>
        </w:tc>
        <w:tc>
          <w:tcPr>
            <w:tcW w:w="820" w:type="dxa"/>
            <w:tcBorders>
              <w:top w:val="single" w:sz="8" w:space="0" w:color="808080"/>
              <w:left w:val="nil"/>
              <w:bottom w:val="single" w:sz="8" w:space="0" w:color="808080"/>
              <w:right w:val="single" w:sz="8" w:space="0" w:color="808080"/>
            </w:tcBorders>
            <w:vAlign w:val="center"/>
            <w:hideMark/>
          </w:tcPr>
          <w:p w:rsidR="00192640" w:rsidRPr="00CE2280" w:rsidRDefault="00192640" w:rsidP="00192640">
            <w:pPr>
              <w:spacing w:after="0" w:line="240" w:lineRule="auto"/>
              <w:rPr>
                <w:rFonts w:ascii="Arial" w:hAnsi="Arial" w:cs="Arial"/>
                <w:b/>
                <w:bCs/>
                <w:lang w:val="en-US"/>
              </w:rPr>
            </w:pPr>
            <w:r w:rsidRPr="00CE2280">
              <w:rPr>
                <w:rFonts w:ascii="Arial" w:hAnsi="Arial" w:cs="Arial"/>
                <w:b/>
                <w:bCs/>
                <w:lang w:val="en-US"/>
              </w:rPr>
              <w:t>YTD</w:t>
            </w:r>
          </w:p>
        </w:tc>
        <w:tc>
          <w:tcPr>
            <w:tcW w:w="2258" w:type="dxa"/>
            <w:tcBorders>
              <w:top w:val="single" w:sz="8" w:space="0" w:color="808080"/>
              <w:left w:val="nil"/>
              <w:bottom w:val="single" w:sz="8" w:space="0" w:color="808080"/>
              <w:right w:val="single" w:sz="8" w:space="0" w:color="808080"/>
            </w:tcBorders>
            <w:vAlign w:val="center"/>
            <w:hideMark/>
          </w:tcPr>
          <w:p w:rsidR="00192640" w:rsidRPr="00CE2280" w:rsidRDefault="00192640" w:rsidP="00192640">
            <w:pPr>
              <w:spacing w:after="0" w:line="240" w:lineRule="auto"/>
              <w:rPr>
                <w:rFonts w:ascii="Arial" w:hAnsi="Arial" w:cs="Arial"/>
                <w:b/>
                <w:bCs/>
                <w:lang w:val="en-US"/>
              </w:rPr>
            </w:pPr>
            <w:r w:rsidRPr="00CE2280">
              <w:rPr>
                <w:rFonts w:ascii="Arial" w:hAnsi="Arial" w:cs="Arial"/>
                <w:b/>
                <w:bCs/>
                <w:lang w:val="en-US"/>
              </w:rPr>
              <w:t>12 month trend</w:t>
            </w:r>
          </w:p>
        </w:tc>
      </w:tr>
      <w:tr w:rsidR="00192640" w:rsidRPr="00CE2280" w:rsidTr="00DA1D5E">
        <w:trPr>
          <w:trHeight w:hRule="exact" w:val="457"/>
        </w:trPr>
        <w:tc>
          <w:tcPr>
            <w:tcW w:w="2433" w:type="dxa"/>
            <w:vMerge/>
            <w:tcBorders>
              <w:left w:val="single" w:sz="8" w:space="0" w:color="808080"/>
              <w:right w:val="single" w:sz="8" w:space="0" w:color="808080"/>
            </w:tcBorders>
            <w:vAlign w:val="center"/>
            <w:hideMark/>
          </w:tcPr>
          <w:p w:rsidR="00192640" w:rsidRPr="00CE2280" w:rsidRDefault="00192640" w:rsidP="0084242F">
            <w:pPr>
              <w:rPr>
                <w:rFonts w:ascii="Arial" w:hAnsi="Arial" w:cs="Arial"/>
                <w:b/>
                <w:bCs/>
                <w:color w:val="FFFFFF"/>
                <w:lang w:val="en-US"/>
              </w:rPr>
            </w:pPr>
          </w:p>
        </w:tc>
        <w:tc>
          <w:tcPr>
            <w:tcW w:w="2801" w:type="dxa"/>
            <w:gridSpan w:val="2"/>
            <w:tcBorders>
              <w:top w:val="single" w:sz="8" w:space="0" w:color="808080"/>
              <w:left w:val="single" w:sz="8" w:space="0" w:color="808080"/>
              <w:bottom w:val="single" w:sz="8" w:space="0" w:color="808080"/>
              <w:right w:val="single" w:sz="8" w:space="0" w:color="808080"/>
            </w:tcBorders>
            <w:shd w:val="clear" w:color="auto" w:fill="auto"/>
            <w:vAlign w:val="center"/>
          </w:tcPr>
          <w:p w:rsidR="00192640" w:rsidRPr="001F14F2" w:rsidRDefault="00192640" w:rsidP="00192640">
            <w:pPr>
              <w:spacing w:after="0" w:line="240" w:lineRule="auto"/>
              <w:rPr>
                <w:rFonts w:ascii="Arial" w:hAnsi="Arial" w:cs="Arial"/>
                <w:bCs/>
                <w:sz w:val="24"/>
                <w:lang w:val="en-US"/>
              </w:rPr>
            </w:pPr>
            <w:r w:rsidRPr="001F14F2">
              <w:rPr>
                <w:rFonts w:ascii="Arial" w:hAnsi="Arial" w:cs="Arial"/>
                <w:bCs/>
                <w:sz w:val="24"/>
                <w:lang w:val="en-US"/>
              </w:rPr>
              <w:t>Bed Occupancy: Midday</w:t>
            </w:r>
          </w:p>
        </w:tc>
        <w:tc>
          <w:tcPr>
            <w:tcW w:w="839" w:type="dxa"/>
            <w:vMerge w:val="restart"/>
            <w:tcBorders>
              <w:top w:val="single" w:sz="8" w:space="0" w:color="808080"/>
              <w:left w:val="nil"/>
              <w:right w:val="single" w:sz="8" w:space="0" w:color="808080"/>
            </w:tcBorders>
            <w:shd w:val="clear" w:color="auto" w:fill="auto"/>
            <w:vAlign w:val="center"/>
            <w:hideMark/>
          </w:tcPr>
          <w:p w:rsidR="00192640" w:rsidRPr="00CE2280" w:rsidRDefault="00192640" w:rsidP="00192640">
            <w:pPr>
              <w:spacing w:after="0" w:line="240" w:lineRule="auto"/>
              <w:rPr>
                <w:rFonts w:ascii="Arial" w:hAnsi="Arial" w:cs="Arial"/>
                <w:lang w:val="en-US"/>
              </w:rPr>
            </w:pPr>
            <w:r>
              <w:rPr>
                <w:rFonts w:ascii="Arial" w:hAnsi="Arial" w:cs="Arial"/>
                <w:lang w:val="en-US"/>
              </w:rPr>
              <w:t>*</w:t>
            </w:r>
            <w:r w:rsidRPr="00C619C0">
              <w:rPr>
                <w:rFonts w:ascii="Arial" w:hAnsi="Arial" w:cs="Arial"/>
                <w:lang w:val="en-US"/>
              </w:rPr>
              <w:t>80%</w:t>
            </w:r>
          </w:p>
        </w:tc>
        <w:tc>
          <w:tcPr>
            <w:tcW w:w="914" w:type="dxa"/>
            <w:tcBorders>
              <w:top w:val="single" w:sz="8" w:space="0" w:color="808080"/>
              <w:left w:val="nil"/>
              <w:bottom w:val="single" w:sz="8" w:space="0" w:color="808080"/>
              <w:right w:val="single" w:sz="8" w:space="0" w:color="808080"/>
            </w:tcBorders>
            <w:shd w:val="clear" w:color="auto" w:fill="FF0000"/>
            <w:vAlign w:val="center"/>
            <w:hideMark/>
          </w:tcPr>
          <w:p w:rsidR="00192640" w:rsidRPr="00CE2280" w:rsidRDefault="00192640" w:rsidP="00192640">
            <w:pPr>
              <w:spacing w:after="0" w:line="240" w:lineRule="auto"/>
              <w:rPr>
                <w:rFonts w:ascii="Arial" w:hAnsi="Arial" w:cs="Arial"/>
                <w:b/>
                <w:color w:val="FFFFFF" w:themeColor="background1"/>
                <w:lang w:val="en-US"/>
              </w:rPr>
            </w:pPr>
            <w:r>
              <w:rPr>
                <w:rFonts w:ascii="Arial" w:hAnsi="Arial" w:cs="Arial"/>
                <w:b/>
                <w:color w:val="FFFFFF" w:themeColor="background1"/>
                <w:lang w:val="en-US"/>
              </w:rPr>
              <w:t>44.8</w:t>
            </w:r>
            <w:r w:rsidRPr="00CE2280">
              <w:rPr>
                <w:rFonts w:ascii="Arial" w:hAnsi="Arial" w:cs="Arial"/>
                <w:b/>
                <w:color w:val="FFFFFF" w:themeColor="background1"/>
                <w:lang w:val="en-US"/>
              </w:rPr>
              <w:t>%</w:t>
            </w:r>
          </w:p>
        </w:tc>
        <w:tc>
          <w:tcPr>
            <w:tcW w:w="820" w:type="dxa"/>
            <w:tcBorders>
              <w:top w:val="single" w:sz="8" w:space="0" w:color="808080"/>
              <w:left w:val="nil"/>
              <w:bottom w:val="single" w:sz="8" w:space="0" w:color="808080"/>
              <w:right w:val="single" w:sz="8" w:space="0" w:color="808080"/>
            </w:tcBorders>
            <w:shd w:val="clear" w:color="auto" w:fill="FF0000"/>
            <w:vAlign w:val="center"/>
            <w:hideMark/>
          </w:tcPr>
          <w:p w:rsidR="00192640" w:rsidRPr="00CE2280" w:rsidRDefault="00192640" w:rsidP="00192640">
            <w:pPr>
              <w:spacing w:after="0" w:line="240" w:lineRule="auto"/>
              <w:rPr>
                <w:rFonts w:ascii="Arial" w:hAnsi="Arial" w:cs="Arial"/>
                <w:b/>
                <w:color w:val="FFFFFF" w:themeColor="background1"/>
                <w:lang w:val="en-US"/>
              </w:rPr>
            </w:pPr>
            <w:r>
              <w:rPr>
                <w:rFonts w:ascii="Arial" w:hAnsi="Arial" w:cs="Arial"/>
                <w:b/>
                <w:color w:val="FFFFFF" w:themeColor="background1"/>
                <w:lang w:val="en-US"/>
              </w:rPr>
              <w:t>42</w:t>
            </w:r>
            <w:r w:rsidRPr="00CE2280">
              <w:rPr>
                <w:rFonts w:ascii="Arial" w:hAnsi="Arial" w:cs="Arial"/>
                <w:b/>
                <w:color w:val="FFFFFF" w:themeColor="background1"/>
                <w:lang w:val="en-US"/>
              </w:rPr>
              <w:t>%</w:t>
            </w:r>
          </w:p>
        </w:tc>
        <w:tc>
          <w:tcPr>
            <w:tcW w:w="2258" w:type="dxa"/>
            <w:tcBorders>
              <w:top w:val="nil"/>
              <w:left w:val="nil"/>
              <w:bottom w:val="single" w:sz="8" w:space="0" w:color="808080"/>
              <w:right w:val="single" w:sz="8" w:space="0" w:color="808080"/>
            </w:tcBorders>
            <w:shd w:val="clear" w:color="auto" w:fill="FFFFFF"/>
            <w:vAlign w:val="center"/>
            <w:hideMark/>
          </w:tcPr>
          <w:p w:rsidR="00192640" w:rsidRPr="00CE2280" w:rsidRDefault="0084242F" w:rsidP="00192640">
            <w:pPr>
              <w:spacing w:after="0" w:line="240" w:lineRule="auto"/>
              <w:rPr>
                <w:rFonts w:ascii="Arial" w:hAnsi="Arial" w:cs="Arial"/>
                <w:lang w:val="en-US"/>
              </w:rPr>
            </w:pPr>
            <w:r>
              <w:rPr>
                <w:rFonts w:ascii="Arial" w:hAnsi="Arial" w:cs="Arial"/>
                <w:noProof/>
                <w:lang w:eastAsia="en-GB"/>
              </w:rPr>
              <w:drawing>
                <wp:inline distT="0" distB="0" distL="0" distR="0" wp14:anchorId="3D1004A6" wp14:editId="2A8F20BC">
                  <wp:extent cx="1194179" cy="218364"/>
                  <wp:effectExtent l="0" t="0" r="635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209991" cy="221255"/>
                          </a:xfrm>
                          <a:prstGeom prst="rect">
                            <a:avLst/>
                          </a:prstGeom>
                          <a:noFill/>
                        </pic:spPr>
                      </pic:pic>
                    </a:graphicData>
                  </a:graphic>
                </wp:inline>
              </w:drawing>
            </w:r>
          </w:p>
        </w:tc>
      </w:tr>
      <w:tr w:rsidR="00192640" w:rsidRPr="00CE2280" w:rsidTr="00DA1D5E">
        <w:trPr>
          <w:trHeight w:val="410"/>
        </w:trPr>
        <w:tc>
          <w:tcPr>
            <w:tcW w:w="2433" w:type="dxa"/>
            <w:vMerge/>
            <w:tcBorders>
              <w:left w:val="single" w:sz="8" w:space="0" w:color="808080"/>
              <w:bottom w:val="single" w:sz="8" w:space="0" w:color="808080"/>
              <w:right w:val="single" w:sz="8" w:space="0" w:color="808080"/>
            </w:tcBorders>
            <w:tcMar>
              <w:top w:w="0" w:type="dxa"/>
              <w:left w:w="108" w:type="dxa"/>
              <w:bottom w:w="0" w:type="dxa"/>
              <w:right w:w="108" w:type="dxa"/>
            </w:tcMar>
          </w:tcPr>
          <w:p w:rsidR="00192640" w:rsidRPr="00CE2280" w:rsidRDefault="00192640" w:rsidP="0084242F">
            <w:pPr>
              <w:spacing w:after="0"/>
              <w:jc w:val="both"/>
              <w:rPr>
                <w:rFonts w:ascii="Arial" w:hAnsi="Arial" w:cs="Arial"/>
                <w:b/>
                <w:bCs/>
                <w:lang w:val="en-US" w:eastAsia="en-GB"/>
              </w:rPr>
            </w:pPr>
          </w:p>
        </w:tc>
        <w:tc>
          <w:tcPr>
            <w:tcW w:w="2801" w:type="dxa"/>
            <w:gridSpan w:val="2"/>
            <w:tcBorders>
              <w:top w:val="nil"/>
              <w:left w:val="single" w:sz="8" w:space="0" w:color="808080"/>
              <w:bottom w:val="single" w:sz="8" w:space="0" w:color="808080"/>
              <w:right w:val="single" w:sz="8" w:space="0" w:color="808080"/>
            </w:tcBorders>
            <w:vAlign w:val="center"/>
          </w:tcPr>
          <w:p w:rsidR="00192640" w:rsidRPr="001F14F2" w:rsidRDefault="00192640" w:rsidP="00192640">
            <w:pPr>
              <w:spacing w:after="0" w:line="240" w:lineRule="auto"/>
              <w:rPr>
                <w:rFonts w:ascii="Arial" w:hAnsi="Arial" w:cs="Arial"/>
                <w:b/>
                <w:bCs/>
                <w:sz w:val="24"/>
                <w:lang w:val="en-US" w:eastAsia="en-GB"/>
              </w:rPr>
            </w:pPr>
            <w:r>
              <w:rPr>
                <w:rFonts w:ascii="Arial" w:hAnsi="Arial" w:cs="Arial"/>
                <w:bCs/>
                <w:sz w:val="24"/>
                <w:lang w:val="en-US"/>
              </w:rPr>
              <w:t>Bed Occupancy: Midnight</w:t>
            </w:r>
          </w:p>
        </w:tc>
        <w:tc>
          <w:tcPr>
            <w:tcW w:w="839" w:type="dxa"/>
            <w:vMerge/>
            <w:tcBorders>
              <w:left w:val="single" w:sz="8" w:space="0" w:color="808080"/>
              <w:bottom w:val="single" w:sz="8" w:space="0" w:color="808080"/>
              <w:right w:val="single" w:sz="8" w:space="0" w:color="808080"/>
            </w:tcBorders>
            <w:shd w:val="clear" w:color="auto" w:fill="auto"/>
            <w:vAlign w:val="center"/>
          </w:tcPr>
          <w:p w:rsidR="00192640" w:rsidRPr="00CE2280" w:rsidRDefault="00192640" w:rsidP="00192640">
            <w:pPr>
              <w:spacing w:after="0" w:line="240" w:lineRule="auto"/>
              <w:rPr>
                <w:rFonts w:ascii="Arial" w:hAnsi="Arial" w:cs="Arial"/>
                <w:b/>
                <w:bCs/>
                <w:lang w:val="en-US" w:eastAsia="en-GB"/>
              </w:rPr>
            </w:pPr>
          </w:p>
        </w:tc>
        <w:tc>
          <w:tcPr>
            <w:tcW w:w="914" w:type="dxa"/>
            <w:tcBorders>
              <w:top w:val="nil"/>
              <w:left w:val="single" w:sz="8" w:space="0" w:color="808080"/>
              <w:bottom w:val="single" w:sz="8" w:space="0" w:color="808080"/>
              <w:right w:val="single" w:sz="8" w:space="0" w:color="808080"/>
            </w:tcBorders>
            <w:shd w:val="clear" w:color="auto" w:fill="FF0000"/>
            <w:vAlign w:val="center"/>
          </w:tcPr>
          <w:p w:rsidR="00192640" w:rsidRPr="001F14F2" w:rsidRDefault="00192640" w:rsidP="00192640">
            <w:pPr>
              <w:spacing w:after="0" w:line="240" w:lineRule="auto"/>
              <w:rPr>
                <w:rFonts w:ascii="Arial" w:hAnsi="Arial" w:cs="Arial"/>
                <w:b/>
                <w:bCs/>
                <w:color w:val="FFFFFF" w:themeColor="background1"/>
                <w:lang w:val="en-US" w:eastAsia="en-GB"/>
              </w:rPr>
            </w:pPr>
            <w:r>
              <w:rPr>
                <w:rFonts w:ascii="Arial" w:hAnsi="Arial" w:cs="Arial"/>
                <w:b/>
                <w:bCs/>
                <w:color w:val="FFFFFF" w:themeColor="background1"/>
                <w:lang w:val="en-US" w:eastAsia="en-GB"/>
              </w:rPr>
              <w:t>51.7</w:t>
            </w:r>
            <w:r w:rsidRPr="001F14F2">
              <w:rPr>
                <w:rFonts w:ascii="Arial" w:hAnsi="Arial" w:cs="Arial"/>
                <w:b/>
                <w:bCs/>
                <w:color w:val="FFFFFF" w:themeColor="background1"/>
                <w:lang w:val="en-US" w:eastAsia="en-GB"/>
              </w:rPr>
              <w:t>%</w:t>
            </w:r>
          </w:p>
        </w:tc>
        <w:tc>
          <w:tcPr>
            <w:tcW w:w="820" w:type="dxa"/>
            <w:tcBorders>
              <w:top w:val="nil"/>
              <w:left w:val="single" w:sz="8" w:space="0" w:color="808080"/>
              <w:bottom w:val="single" w:sz="8" w:space="0" w:color="808080"/>
              <w:right w:val="single" w:sz="8" w:space="0" w:color="808080"/>
            </w:tcBorders>
            <w:shd w:val="clear" w:color="auto" w:fill="FF0000"/>
            <w:vAlign w:val="center"/>
          </w:tcPr>
          <w:p w:rsidR="00192640" w:rsidRPr="001F14F2" w:rsidRDefault="004A2D92" w:rsidP="00192640">
            <w:pPr>
              <w:spacing w:after="0" w:line="240" w:lineRule="auto"/>
              <w:rPr>
                <w:rFonts w:ascii="Arial" w:hAnsi="Arial" w:cs="Arial"/>
                <w:b/>
                <w:bCs/>
                <w:color w:val="FFFFFF" w:themeColor="background1"/>
                <w:lang w:val="en-US" w:eastAsia="en-GB"/>
              </w:rPr>
            </w:pPr>
            <w:r>
              <w:rPr>
                <w:rFonts w:ascii="Arial" w:hAnsi="Arial" w:cs="Arial"/>
                <w:b/>
                <w:bCs/>
                <w:color w:val="FFFFFF" w:themeColor="background1"/>
                <w:lang w:val="en-US" w:eastAsia="en-GB"/>
              </w:rPr>
              <w:t>47</w:t>
            </w:r>
            <w:r w:rsidR="00192640" w:rsidRPr="001F14F2">
              <w:rPr>
                <w:rFonts w:ascii="Arial" w:hAnsi="Arial" w:cs="Arial"/>
                <w:b/>
                <w:bCs/>
                <w:color w:val="FFFFFF" w:themeColor="background1"/>
                <w:lang w:val="en-US" w:eastAsia="en-GB"/>
              </w:rPr>
              <w:t>%</w:t>
            </w:r>
          </w:p>
        </w:tc>
        <w:tc>
          <w:tcPr>
            <w:tcW w:w="2258" w:type="dxa"/>
            <w:tcBorders>
              <w:top w:val="nil"/>
              <w:left w:val="single" w:sz="8" w:space="0" w:color="808080"/>
              <w:bottom w:val="single" w:sz="8" w:space="0" w:color="808080"/>
              <w:right w:val="single" w:sz="8" w:space="0" w:color="808080"/>
            </w:tcBorders>
            <w:vAlign w:val="center"/>
          </w:tcPr>
          <w:p w:rsidR="00192640" w:rsidRPr="00CE2280" w:rsidRDefault="0084242F" w:rsidP="00192640">
            <w:pPr>
              <w:spacing w:after="0" w:line="240" w:lineRule="auto"/>
              <w:rPr>
                <w:rFonts w:ascii="Arial" w:hAnsi="Arial" w:cs="Arial"/>
                <w:b/>
                <w:bCs/>
                <w:lang w:val="en-US" w:eastAsia="en-GB"/>
              </w:rPr>
            </w:pPr>
            <w:r>
              <w:rPr>
                <w:rFonts w:ascii="Arial" w:hAnsi="Arial" w:cs="Arial"/>
                <w:b/>
                <w:bCs/>
                <w:noProof/>
                <w:lang w:eastAsia="en-GB"/>
              </w:rPr>
              <w:drawing>
                <wp:inline distT="0" distB="0" distL="0" distR="0" wp14:anchorId="79D6931B" wp14:editId="37D66A78">
                  <wp:extent cx="1194179" cy="184245"/>
                  <wp:effectExtent l="0" t="0" r="6350" b="635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6" cstate="print">
                            <a:extLst>
                              <a:ext uri="{28A0092B-C50C-407E-A947-70E740481C1C}">
                                <a14:useLocalDpi xmlns:a14="http://schemas.microsoft.com/office/drawing/2010/main" val="0"/>
                              </a:ext>
                            </a:extLst>
                          </a:blip>
                          <a:srcRect l="2500"/>
                          <a:stretch/>
                        </pic:blipFill>
                        <pic:spPr bwMode="auto">
                          <a:xfrm>
                            <a:off x="0" y="0"/>
                            <a:ext cx="1199624" cy="185085"/>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192640" w:rsidRPr="00CE2280" w:rsidTr="00DA1D5E">
        <w:trPr>
          <w:trHeight w:val="410"/>
        </w:trPr>
        <w:tc>
          <w:tcPr>
            <w:tcW w:w="10065" w:type="dxa"/>
            <w:gridSpan w:val="7"/>
            <w:tcBorders>
              <w:top w:val="nil"/>
              <w:left w:val="single" w:sz="8" w:space="0" w:color="808080"/>
              <w:bottom w:val="single" w:sz="8" w:space="0" w:color="808080"/>
              <w:right w:val="single" w:sz="8" w:space="0" w:color="808080"/>
            </w:tcBorders>
            <w:tcMar>
              <w:top w:w="0" w:type="dxa"/>
              <w:left w:w="108" w:type="dxa"/>
              <w:bottom w:w="0" w:type="dxa"/>
              <w:right w:w="108" w:type="dxa"/>
            </w:tcMar>
            <w:hideMark/>
          </w:tcPr>
          <w:p w:rsidR="00192640" w:rsidRPr="00803E17" w:rsidRDefault="00192640" w:rsidP="00192640">
            <w:pPr>
              <w:spacing w:before="80" w:after="80" w:line="240" w:lineRule="auto"/>
              <w:jc w:val="both"/>
              <w:rPr>
                <w:rFonts w:ascii="Arial" w:hAnsi="Arial" w:cs="Arial"/>
                <w:b/>
                <w:bCs/>
                <w:sz w:val="24"/>
                <w:lang w:val="en-US" w:eastAsia="en-GB"/>
              </w:rPr>
            </w:pPr>
            <w:r w:rsidRPr="00803E17">
              <w:rPr>
                <w:rFonts w:ascii="Arial" w:hAnsi="Arial" w:cs="Arial"/>
                <w:b/>
                <w:bCs/>
                <w:sz w:val="24"/>
                <w:lang w:val="en-US" w:eastAsia="en-GB"/>
              </w:rPr>
              <w:t>Reason for non-compliance</w:t>
            </w:r>
          </w:p>
          <w:p w:rsidR="00192640" w:rsidRPr="00803E17" w:rsidRDefault="00192640" w:rsidP="0084242F">
            <w:pPr>
              <w:spacing w:after="0"/>
              <w:jc w:val="both"/>
              <w:rPr>
                <w:rFonts w:ascii="Arial" w:hAnsi="Arial" w:cs="Arial"/>
                <w:bCs/>
                <w:sz w:val="24"/>
                <w:lang w:val="en-US" w:eastAsia="en-GB"/>
              </w:rPr>
            </w:pPr>
            <w:r w:rsidRPr="00803E17">
              <w:rPr>
                <w:rFonts w:ascii="Arial" w:hAnsi="Arial" w:cs="Arial"/>
                <w:bCs/>
                <w:sz w:val="24"/>
                <w:lang w:val="en-US" w:eastAsia="en-GB"/>
              </w:rPr>
              <w:t>*</w:t>
            </w:r>
            <w:r w:rsidRPr="00803E17">
              <w:rPr>
                <w:rFonts w:ascii="Arial" w:hAnsi="Arial" w:cs="Arial"/>
                <w:bCs/>
                <w:i/>
                <w:sz w:val="24"/>
                <w:lang w:val="en-US" w:eastAsia="en-GB"/>
              </w:rPr>
              <w:t xml:space="preserve">The </w:t>
            </w:r>
            <w:r w:rsidR="004A2D92" w:rsidRPr="00803E17">
              <w:rPr>
                <w:rFonts w:ascii="Arial" w:hAnsi="Arial" w:cs="Arial"/>
                <w:bCs/>
                <w:i/>
                <w:sz w:val="24"/>
                <w:lang w:val="en-US" w:eastAsia="en-GB"/>
              </w:rPr>
              <w:t xml:space="preserve">new temporary </w:t>
            </w:r>
            <w:r w:rsidRPr="00803E17">
              <w:rPr>
                <w:rFonts w:ascii="Arial" w:hAnsi="Arial" w:cs="Arial"/>
                <w:bCs/>
                <w:i/>
                <w:sz w:val="24"/>
                <w:lang w:val="en-US" w:eastAsia="en-GB"/>
              </w:rPr>
              <w:t>80% target for bed occupancy is a national directive to prepare the system for a possible second surge in COVID 19 cases.</w:t>
            </w:r>
          </w:p>
          <w:p w:rsidR="00192640" w:rsidRPr="00C549B2" w:rsidRDefault="00192640" w:rsidP="0084242F">
            <w:pPr>
              <w:spacing w:after="0"/>
              <w:jc w:val="both"/>
              <w:rPr>
                <w:rFonts w:ascii="Arial" w:hAnsi="Arial" w:cs="Arial"/>
                <w:bCs/>
                <w:sz w:val="12"/>
                <w:szCs w:val="12"/>
                <w:lang w:val="en-US" w:eastAsia="en-GB"/>
              </w:rPr>
            </w:pPr>
          </w:p>
          <w:p w:rsidR="00192640" w:rsidRPr="00803E17" w:rsidRDefault="00192640" w:rsidP="0084242F">
            <w:pPr>
              <w:spacing w:after="0"/>
              <w:jc w:val="both"/>
              <w:rPr>
                <w:rFonts w:ascii="Arial" w:hAnsi="Arial" w:cs="Arial"/>
                <w:bCs/>
                <w:color w:val="000000" w:themeColor="text1"/>
                <w:sz w:val="24"/>
                <w:lang w:val="en-US" w:eastAsia="en-GB"/>
              </w:rPr>
            </w:pPr>
            <w:r w:rsidRPr="00803E17">
              <w:rPr>
                <w:rFonts w:ascii="Arial" w:hAnsi="Arial" w:cs="Arial"/>
                <w:bCs/>
                <w:color w:val="000000" w:themeColor="text1"/>
                <w:sz w:val="24"/>
                <w:lang w:val="en-US" w:eastAsia="en-GB"/>
              </w:rPr>
              <w:t xml:space="preserve">Both </w:t>
            </w:r>
            <w:r w:rsidR="004A2D92" w:rsidRPr="00803E17">
              <w:rPr>
                <w:rFonts w:ascii="Arial" w:hAnsi="Arial" w:cs="Arial"/>
                <w:bCs/>
                <w:color w:val="000000" w:themeColor="text1"/>
                <w:sz w:val="24"/>
                <w:lang w:val="en-US" w:eastAsia="en-GB"/>
              </w:rPr>
              <w:t xml:space="preserve">CCCW </w:t>
            </w:r>
            <w:r w:rsidRPr="00803E17">
              <w:rPr>
                <w:rFonts w:ascii="Arial" w:hAnsi="Arial" w:cs="Arial"/>
                <w:bCs/>
                <w:color w:val="000000" w:themeColor="text1"/>
                <w:sz w:val="24"/>
                <w:lang w:val="en-US" w:eastAsia="en-GB"/>
              </w:rPr>
              <w:t xml:space="preserve">inpatient wards are below the target bed occupancy for May 2020:  </w:t>
            </w:r>
          </w:p>
          <w:p w:rsidR="00192640" w:rsidRPr="00803E17" w:rsidRDefault="00192640" w:rsidP="00192640">
            <w:pPr>
              <w:pStyle w:val="ListParagraph"/>
              <w:numPr>
                <w:ilvl w:val="0"/>
                <w:numId w:val="17"/>
              </w:numPr>
              <w:spacing w:after="0"/>
              <w:jc w:val="both"/>
              <w:rPr>
                <w:rFonts w:ascii="Arial" w:hAnsi="Arial" w:cs="Arial"/>
                <w:bCs/>
                <w:color w:val="000000" w:themeColor="text1"/>
                <w:sz w:val="24"/>
                <w:lang w:val="en-US" w:eastAsia="en-GB"/>
              </w:rPr>
            </w:pPr>
            <w:r w:rsidRPr="00803E17">
              <w:rPr>
                <w:rFonts w:ascii="Arial" w:hAnsi="Arial" w:cs="Arial"/>
                <w:bCs/>
                <w:color w:val="000000" w:themeColor="text1"/>
                <w:sz w:val="24"/>
                <w:lang w:val="en-US" w:eastAsia="en-GB"/>
              </w:rPr>
              <w:t xml:space="preserve">The average bed occupancy at midday was 44.8% (based on </w:t>
            </w:r>
            <w:r w:rsidR="004A2D92" w:rsidRPr="00803E17">
              <w:rPr>
                <w:rFonts w:ascii="Arial" w:hAnsi="Arial" w:cs="Arial"/>
                <w:bCs/>
                <w:color w:val="000000" w:themeColor="text1"/>
                <w:sz w:val="24"/>
                <w:lang w:val="en-US" w:eastAsia="en-GB"/>
              </w:rPr>
              <w:t xml:space="preserve">a </w:t>
            </w:r>
            <w:r w:rsidRPr="00803E17">
              <w:rPr>
                <w:rFonts w:ascii="Arial" w:hAnsi="Arial" w:cs="Arial"/>
                <w:bCs/>
                <w:color w:val="000000" w:themeColor="text1"/>
                <w:sz w:val="24"/>
                <w:lang w:val="en-US" w:eastAsia="en-GB"/>
              </w:rPr>
              <w:t>bed base of 51)</w:t>
            </w:r>
          </w:p>
          <w:p w:rsidR="00192640" w:rsidRPr="00803E17" w:rsidRDefault="00192640" w:rsidP="00192640">
            <w:pPr>
              <w:pStyle w:val="ListParagraph"/>
              <w:numPr>
                <w:ilvl w:val="0"/>
                <w:numId w:val="17"/>
              </w:numPr>
              <w:spacing w:after="0"/>
              <w:jc w:val="both"/>
              <w:rPr>
                <w:rFonts w:ascii="Arial" w:hAnsi="Arial" w:cs="Arial"/>
                <w:bCs/>
                <w:color w:val="000000" w:themeColor="text1"/>
                <w:sz w:val="24"/>
                <w:lang w:val="en-US" w:eastAsia="en-GB"/>
              </w:rPr>
            </w:pPr>
            <w:r w:rsidRPr="00803E17">
              <w:rPr>
                <w:rFonts w:ascii="Arial" w:hAnsi="Arial" w:cs="Arial"/>
                <w:bCs/>
                <w:color w:val="000000" w:themeColor="text1"/>
                <w:sz w:val="24"/>
                <w:lang w:val="en-US" w:eastAsia="en-GB"/>
              </w:rPr>
              <w:t xml:space="preserve">The average bed occupancy at midnight was 51.7% (based on </w:t>
            </w:r>
            <w:r w:rsidR="004A2D92" w:rsidRPr="00803E17">
              <w:rPr>
                <w:rFonts w:ascii="Arial" w:hAnsi="Arial" w:cs="Arial"/>
                <w:bCs/>
                <w:color w:val="000000" w:themeColor="text1"/>
                <w:sz w:val="24"/>
                <w:lang w:val="en-US" w:eastAsia="en-GB"/>
              </w:rPr>
              <w:t xml:space="preserve">a </w:t>
            </w:r>
            <w:r w:rsidRPr="00803E17">
              <w:rPr>
                <w:rFonts w:ascii="Arial" w:hAnsi="Arial" w:cs="Arial"/>
                <w:bCs/>
                <w:color w:val="000000" w:themeColor="text1"/>
                <w:sz w:val="24"/>
                <w:lang w:val="en-US" w:eastAsia="en-GB"/>
              </w:rPr>
              <w:t>bed base of 40; reduction due to allocation of 11 day-ca</w:t>
            </w:r>
            <w:r w:rsidR="00392D42" w:rsidRPr="00803E17">
              <w:rPr>
                <w:rFonts w:ascii="Arial" w:hAnsi="Arial" w:cs="Arial"/>
                <w:bCs/>
                <w:color w:val="000000" w:themeColor="text1"/>
                <w:sz w:val="24"/>
                <w:lang w:val="en-US" w:eastAsia="en-GB"/>
              </w:rPr>
              <w:t>se beds, not available overnight. This reduced overnight bed base applied in May 2020 only</w:t>
            </w:r>
            <w:r w:rsidRPr="00803E17">
              <w:rPr>
                <w:rFonts w:ascii="Arial" w:hAnsi="Arial" w:cs="Arial"/>
                <w:bCs/>
                <w:color w:val="000000" w:themeColor="text1"/>
                <w:sz w:val="24"/>
                <w:lang w:val="en-US" w:eastAsia="en-GB"/>
              </w:rPr>
              <w:t>)</w:t>
            </w:r>
          </w:p>
          <w:p w:rsidR="00192640" w:rsidRPr="00C549B2" w:rsidRDefault="00192640" w:rsidP="0084242F">
            <w:pPr>
              <w:spacing w:after="0"/>
              <w:jc w:val="both"/>
              <w:rPr>
                <w:rFonts w:ascii="Arial" w:hAnsi="Arial" w:cs="Arial"/>
                <w:bCs/>
                <w:color w:val="000000" w:themeColor="text1"/>
                <w:sz w:val="12"/>
                <w:szCs w:val="12"/>
                <w:lang w:val="en-US" w:eastAsia="en-GB"/>
              </w:rPr>
            </w:pPr>
          </w:p>
          <w:p w:rsidR="00192640" w:rsidRPr="00803E17" w:rsidRDefault="004A2D92" w:rsidP="0084242F">
            <w:pPr>
              <w:spacing w:after="0"/>
              <w:jc w:val="both"/>
              <w:rPr>
                <w:rFonts w:ascii="Arial" w:hAnsi="Arial" w:cs="Arial"/>
                <w:bCs/>
                <w:color w:val="000000" w:themeColor="text1"/>
                <w:sz w:val="24"/>
                <w:lang w:val="en-US" w:eastAsia="en-GB"/>
              </w:rPr>
            </w:pPr>
            <w:r w:rsidRPr="00803E17">
              <w:rPr>
                <w:rFonts w:ascii="Arial" w:hAnsi="Arial" w:cs="Arial"/>
                <w:bCs/>
                <w:sz w:val="24"/>
                <w:lang w:val="en-US" w:eastAsia="en-GB"/>
              </w:rPr>
              <w:t>The reduced elective and non-elective activity is in line with NHSE guidance to reduce occupancy and create capacity in response to the COVID-19 pandemic</w:t>
            </w:r>
            <w:r w:rsidR="00192640" w:rsidRPr="00803E17">
              <w:rPr>
                <w:rFonts w:ascii="Arial" w:hAnsi="Arial" w:cs="Arial"/>
                <w:bCs/>
                <w:color w:val="000000" w:themeColor="text1"/>
                <w:sz w:val="24"/>
                <w:lang w:val="en-US" w:eastAsia="en-GB"/>
              </w:rPr>
              <w:t xml:space="preserve">. However, an increase in unplanned activity towards the end of the month has been noted. </w:t>
            </w:r>
          </w:p>
          <w:p w:rsidR="00192640" w:rsidRPr="00C549B2" w:rsidRDefault="00192640" w:rsidP="0084242F">
            <w:pPr>
              <w:spacing w:after="0"/>
              <w:jc w:val="both"/>
              <w:rPr>
                <w:rFonts w:ascii="Arial" w:hAnsi="Arial" w:cs="Arial"/>
                <w:bCs/>
                <w:color w:val="000000" w:themeColor="text1"/>
                <w:sz w:val="12"/>
                <w:szCs w:val="12"/>
                <w:lang w:val="en-US" w:eastAsia="en-GB"/>
              </w:rPr>
            </w:pPr>
          </w:p>
          <w:p w:rsidR="00192640" w:rsidRPr="00803E17" w:rsidRDefault="00192640" w:rsidP="0084242F">
            <w:pPr>
              <w:spacing w:after="0"/>
              <w:jc w:val="both"/>
              <w:rPr>
                <w:rFonts w:ascii="Arial" w:hAnsi="Arial" w:cs="Arial"/>
                <w:bCs/>
                <w:color w:val="000000" w:themeColor="text1"/>
                <w:sz w:val="24"/>
                <w:lang w:val="en-US" w:eastAsia="en-GB"/>
              </w:rPr>
            </w:pPr>
            <w:r w:rsidRPr="00803E17">
              <w:rPr>
                <w:rFonts w:ascii="Arial" w:hAnsi="Arial" w:cs="Arial"/>
                <w:bCs/>
                <w:color w:val="000000" w:themeColor="text1"/>
                <w:sz w:val="24"/>
                <w:lang w:val="en-US" w:eastAsia="en-GB"/>
              </w:rPr>
              <w:t xml:space="preserve">Low bed occupancy continues to be supported by a very low </w:t>
            </w:r>
            <w:r w:rsidR="004A2D92" w:rsidRPr="00803E17">
              <w:rPr>
                <w:rFonts w:ascii="Arial" w:hAnsi="Arial" w:cs="Arial"/>
                <w:bCs/>
                <w:color w:val="000000" w:themeColor="text1"/>
                <w:sz w:val="24"/>
                <w:lang w:val="en-US" w:eastAsia="en-GB"/>
              </w:rPr>
              <w:t xml:space="preserve">Clinical Utilisation Review </w:t>
            </w:r>
            <w:r w:rsidRPr="00803E17">
              <w:rPr>
                <w:rFonts w:ascii="Arial" w:hAnsi="Arial" w:cs="Arial"/>
                <w:bCs/>
                <w:color w:val="000000" w:themeColor="text1"/>
                <w:sz w:val="24"/>
                <w:lang w:val="en-US" w:eastAsia="en-GB"/>
              </w:rPr>
              <w:t>Non Qualifying rate of 1%.</w:t>
            </w:r>
          </w:p>
          <w:p w:rsidR="004A2D92" w:rsidRPr="00C549B2" w:rsidRDefault="004A2D92" w:rsidP="0084242F">
            <w:pPr>
              <w:spacing w:after="0"/>
              <w:jc w:val="both"/>
              <w:rPr>
                <w:rFonts w:ascii="Arial" w:hAnsi="Arial" w:cs="Arial"/>
                <w:bCs/>
                <w:color w:val="000000" w:themeColor="text1"/>
                <w:sz w:val="12"/>
                <w:szCs w:val="12"/>
                <w:lang w:val="en-US" w:eastAsia="en-GB"/>
              </w:rPr>
            </w:pPr>
          </w:p>
          <w:p w:rsidR="00192640" w:rsidRDefault="00192640" w:rsidP="00192640">
            <w:pPr>
              <w:spacing w:after="0"/>
              <w:jc w:val="both"/>
              <w:rPr>
                <w:rFonts w:ascii="Arial" w:hAnsi="Arial" w:cs="Arial"/>
                <w:bCs/>
                <w:color w:val="000000" w:themeColor="text1"/>
                <w:sz w:val="24"/>
                <w:lang w:val="en-US" w:eastAsia="en-GB"/>
              </w:rPr>
            </w:pPr>
            <w:r w:rsidRPr="00803E17">
              <w:rPr>
                <w:rFonts w:ascii="Arial" w:hAnsi="Arial" w:cs="Arial"/>
                <w:bCs/>
                <w:color w:val="000000" w:themeColor="text1"/>
                <w:sz w:val="24"/>
                <w:lang w:val="en-US" w:eastAsia="en-GB"/>
              </w:rPr>
              <w:t>There have been 3 reportable DTOCs for May, and Length of Stay is on target for both planned and unplanned admissions pathways.  This suggests all patients were in the right place at the right time, with very few delays.</w:t>
            </w:r>
          </w:p>
          <w:p w:rsidR="00C549B2" w:rsidRPr="00803E17" w:rsidRDefault="00C549B2" w:rsidP="00C549B2">
            <w:pPr>
              <w:spacing w:before="60" w:after="60"/>
              <w:jc w:val="both"/>
              <w:rPr>
                <w:rFonts w:ascii="Arial" w:hAnsi="Arial" w:cs="Arial"/>
                <w:b/>
                <w:bCs/>
                <w:sz w:val="24"/>
                <w:lang w:val="en-US" w:eastAsia="en-GB"/>
              </w:rPr>
            </w:pPr>
            <w:r w:rsidRPr="00803E17">
              <w:rPr>
                <w:rFonts w:ascii="Arial" w:hAnsi="Arial" w:cs="Arial"/>
                <w:b/>
                <w:bCs/>
                <w:sz w:val="24"/>
                <w:lang w:val="en-US" w:eastAsia="en-GB"/>
              </w:rPr>
              <w:t>Action Taken to improve compliance</w:t>
            </w:r>
          </w:p>
          <w:p w:rsidR="00C549B2" w:rsidRPr="00C549B2" w:rsidRDefault="00C549B2" w:rsidP="00C549B2">
            <w:pPr>
              <w:numPr>
                <w:ilvl w:val="0"/>
                <w:numId w:val="16"/>
              </w:numPr>
              <w:ind w:left="318"/>
              <w:contextualSpacing/>
              <w:jc w:val="both"/>
              <w:rPr>
                <w:rFonts w:ascii="Arial" w:hAnsi="Arial" w:cs="Arial"/>
                <w:bCs/>
                <w:color w:val="000000" w:themeColor="text1"/>
                <w:sz w:val="24"/>
                <w:lang w:val="en-US" w:eastAsia="en-GB"/>
              </w:rPr>
            </w:pPr>
            <w:r w:rsidRPr="00803E17">
              <w:rPr>
                <w:rFonts w:ascii="Arial" w:hAnsi="Arial" w:cs="Arial"/>
                <w:bCs/>
                <w:color w:val="000000" w:themeColor="text1"/>
                <w:sz w:val="24"/>
                <w:lang w:val="en-US" w:eastAsia="en-GB"/>
              </w:rPr>
              <w:t>Weekly LLoS (long length of stay) Directorate meetings have been replaced by Daily MDT Handover meetings and twice weekly MDT meetings led by PFT.</w:t>
            </w:r>
          </w:p>
        </w:tc>
      </w:tr>
      <w:tr w:rsidR="00192640" w:rsidRPr="00CE2280" w:rsidTr="00DA1D5E">
        <w:trPr>
          <w:trHeight w:val="1708"/>
        </w:trPr>
        <w:tc>
          <w:tcPr>
            <w:tcW w:w="10065" w:type="dxa"/>
            <w:gridSpan w:val="7"/>
            <w:tcBorders>
              <w:top w:val="single" w:sz="8" w:space="0" w:color="808080"/>
              <w:left w:val="single" w:sz="8" w:space="0" w:color="808080"/>
              <w:bottom w:val="single" w:sz="8" w:space="0" w:color="808080"/>
              <w:right w:val="single" w:sz="8" w:space="0" w:color="808080"/>
            </w:tcBorders>
            <w:tcMar>
              <w:top w:w="0" w:type="dxa"/>
              <w:left w:w="108" w:type="dxa"/>
              <w:bottom w:w="0" w:type="dxa"/>
              <w:right w:w="108" w:type="dxa"/>
            </w:tcMar>
          </w:tcPr>
          <w:p w:rsidR="00192640" w:rsidRPr="00803E17" w:rsidRDefault="00192640" w:rsidP="00192640">
            <w:pPr>
              <w:numPr>
                <w:ilvl w:val="0"/>
                <w:numId w:val="16"/>
              </w:numPr>
              <w:ind w:left="318"/>
              <w:contextualSpacing/>
              <w:jc w:val="both"/>
              <w:rPr>
                <w:rFonts w:ascii="Arial" w:hAnsi="Arial" w:cs="Arial"/>
                <w:bCs/>
                <w:color w:val="000000" w:themeColor="text1"/>
                <w:sz w:val="24"/>
                <w:lang w:val="en-US" w:eastAsia="en-GB"/>
              </w:rPr>
            </w:pPr>
            <w:r w:rsidRPr="00803E17">
              <w:rPr>
                <w:rFonts w:ascii="Arial" w:hAnsi="Arial" w:cs="Arial"/>
                <w:bCs/>
                <w:color w:val="000000" w:themeColor="text1"/>
                <w:sz w:val="24"/>
                <w:lang w:val="en-US" w:eastAsia="en-GB"/>
              </w:rPr>
              <w:lastRenderedPageBreak/>
              <w:t xml:space="preserve">Patient Flow Team and the wider MDT continue to proactively discharge plan </w:t>
            </w:r>
            <w:r w:rsidR="006C2A77" w:rsidRPr="00803E17">
              <w:rPr>
                <w:rFonts w:ascii="Arial" w:hAnsi="Arial" w:cs="Arial"/>
                <w:bCs/>
                <w:color w:val="000000" w:themeColor="text1"/>
                <w:sz w:val="24"/>
                <w:lang w:val="en-US" w:eastAsia="en-GB"/>
              </w:rPr>
              <w:t>ensuring patients are discharged safely home or to a suitable care setting</w:t>
            </w:r>
            <w:r w:rsidRPr="00803E17">
              <w:rPr>
                <w:rFonts w:ascii="Arial" w:hAnsi="Arial" w:cs="Arial"/>
                <w:bCs/>
                <w:color w:val="000000" w:themeColor="text1"/>
                <w:sz w:val="24"/>
                <w:lang w:val="en-US" w:eastAsia="en-GB"/>
              </w:rPr>
              <w:t xml:space="preserve">.  </w:t>
            </w:r>
          </w:p>
          <w:p w:rsidR="00192640" w:rsidRPr="00803E17" w:rsidRDefault="00192640" w:rsidP="009F1520">
            <w:pPr>
              <w:numPr>
                <w:ilvl w:val="0"/>
                <w:numId w:val="16"/>
              </w:numPr>
              <w:ind w:left="318"/>
              <w:contextualSpacing/>
              <w:jc w:val="both"/>
              <w:rPr>
                <w:rFonts w:ascii="Arial" w:hAnsi="Arial" w:cs="Arial"/>
                <w:bCs/>
                <w:sz w:val="24"/>
                <w:lang w:val="en-US" w:eastAsia="en-GB"/>
              </w:rPr>
            </w:pPr>
            <w:r w:rsidRPr="00803E17">
              <w:rPr>
                <w:rFonts w:ascii="Arial" w:hAnsi="Arial" w:cs="Arial"/>
                <w:bCs/>
                <w:color w:val="000000" w:themeColor="text1"/>
                <w:sz w:val="24"/>
                <w:lang w:val="en-US" w:eastAsia="en-GB"/>
              </w:rPr>
              <w:t xml:space="preserve">Admissions </w:t>
            </w:r>
            <w:r w:rsidR="009F1520" w:rsidRPr="00803E17">
              <w:rPr>
                <w:rFonts w:ascii="Arial" w:hAnsi="Arial" w:cs="Arial"/>
                <w:bCs/>
                <w:color w:val="000000" w:themeColor="text1"/>
                <w:sz w:val="24"/>
                <w:lang w:val="en-US" w:eastAsia="en-GB"/>
              </w:rPr>
              <w:t xml:space="preserve">policy altered </w:t>
            </w:r>
            <w:r w:rsidRPr="00803E17">
              <w:rPr>
                <w:rFonts w:ascii="Arial" w:hAnsi="Arial" w:cs="Arial"/>
                <w:bCs/>
                <w:color w:val="000000" w:themeColor="text1"/>
                <w:sz w:val="24"/>
                <w:lang w:val="en-US" w:eastAsia="en-GB"/>
              </w:rPr>
              <w:t>to provide support to the healthcare system</w:t>
            </w:r>
            <w:r w:rsidR="009F1520" w:rsidRPr="00803E17">
              <w:rPr>
                <w:rFonts w:ascii="Arial" w:hAnsi="Arial" w:cs="Arial"/>
                <w:bCs/>
                <w:color w:val="000000" w:themeColor="text1"/>
                <w:sz w:val="24"/>
                <w:lang w:val="en-US" w:eastAsia="en-GB"/>
              </w:rPr>
              <w:t>. Patients who call the hotline are now offered the opportunity to attend the CDU, r</w:t>
            </w:r>
            <w:r w:rsidRPr="00803E17">
              <w:rPr>
                <w:rFonts w:ascii="Arial" w:hAnsi="Arial" w:cs="Arial"/>
                <w:bCs/>
                <w:color w:val="000000" w:themeColor="text1"/>
                <w:sz w:val="24"/>
                <w:lang w:val="en-US" w:eastAsia="en-GB"/>
              </w:rPr>
              <w:t>ather</w:t>
            </w:r>
            <w:r w:rsidR="0056607A" w:rsidRPr="00803E17">
              <w:rPr>
                <w:rFonts w:ascii="Arial" w:hAnsi="Arial" w:cs="Arial"/>
                <w:bCs/>
                <w:color w:val="000000" w:themeColor="text1"/>
                <w:sz w:val="24"/>
                <w:lang w:val="en-US" w:eastAsia="en-GB"/>
              </w:rPr>
              <w:t xml:space="preserve"> than </w:t>
            </w:r>
            <w:r w:rsidR="009F1520" w:rsidRPr="00803E17">
              <w:rPr>
                <w:rFonts w:ascii="Arial" w:hAnsi="Arial" w:cs="Arial"/>
                <w:bCs/>
                <w:color w:val="000000" w:themeColor="text1"/>
                <w:sz w:val="24"/>
                <w:lang w:val="en-US" w:eastAsia="en-GB"/>
              </w:rPr>
              <w:t>attend their local A&amp;E, if clinically appropriate</w:t>
            </w:r>
            <w:r w:rsidR="0056607A" w:rsidRPr="00803E17">
              <w:rPr>
                <w:rFonts w:ascii="Arial" w:hAnsi="Arial" w:cs="Arial"/>
                <w:bCs/>
                <w:color w:val="000000" w:themeColor="text1"/>
                <w:sz w:val="24"/>
                <w:lang w:val="en-US" w:eastAsia="en-GB"/>
              </w:rPr>
              <w:t>.</w:t>
            </w:r>
          </w:p>
        </w:tc>
      </w:tr>
      <w:tr w:rsidR="00192640" w:rsidRPr="00CE2280" w:rsidTr="00DA1D5E">
        <w:tblPrEx>
          <w:tblCellMar>
            <w:left w:w="0" w:type="dxa"/>
          </w:tblCellMar>
        </w:tblPrEx>
        <w:trPr>
          <w:trHeight w:hRule="exact" w:val="425"/>
        </w:trPr>
        <w:tc>
          <w:tcPr>
            <w:tcW w:w="3687" w:type="dxa"/>
            <w:gridSpan w:val="2"/>
            <w:tcBorders>
              <w:top w:val="nil"/>
              <w:left w:val="single" w:sz="8" w:space="0" w:color="808080"/>
              <w:bottom w:val="single" w:sz="8" w:space="0" w:color="808080"/>
              <w:right w:val="single" w:sz="8" w:space="0" w:color="808080"/>
            </w:tcBorders>
            <w:tcMar>
              <w:top w:w="0" w:type="dxa"/>
              <w:left w:w="108" w:type="dxa"/>
              <w:bottom w:w="0" w:type="dxa"/>
              <w:right w:w="108" w:type="dxa"/>
            </w:tcMar>
            <w:vAlign w:val="center"/>
            <w:hideMark/>
          </w:tcPr>
          <w:p w:rsidR="00192640" w:rsidRPr="00803E17" w:rsidRDefault="00192640" w:rsidP="0084242F">
            <w:pPr>
              <w:spacing w:after="0"/>
              <w:rPr>
                <w:rFonts w:ascii="Arial" w:hAnsi="Arial" w:cs="Arial"/>
                <w:b/>
                <w:bCs/>
                <w:sz w:val="24"/>
                <w:lang w:val="en-US" w:eastAsia="en-GB"/>
              </w:rPr>
            </w:pPr>
            <w:r w:rsidRPr="00803E17">
              <w:rPr>
                <w:rFonts w:ascii="Arial" w:hAnsi="Arial" w:cs="Arial"/>
                <w:b/>
                <w:bCs/>
                <w:sz w:val="24"/>
                <w:lang w:val="en-US" w:eastAsia="en-GB"/>
              </w:rPr>
              <w:t>Expected date of compliance</w:t>
            </w:r>
          </w:p>
        </w:tc>
        <w:tc>
          <w:tcPr>
            <w:tcW w:w="6378" w:type="dxa"/>
            <w:gridSpan w:val="5"/>
            <w:tcBorders>
              <w:top w:val="nil"/>
              <w:left w:val="nil"/>
              <w:bottom w:val="single" w:sz="8" w:space="0" w:color="808080"/>
              <w:right w:val="single" w:sz="8" w:space="0" w:color="808080"/>
            </w:tcBorders>
            <w:tcMar>
              <w:top w:w="0" w:type="dxa"/>
              <w:left w:w="108" w:type="dxa"/>
              <w:bottom w:w="0" w:type="dxa"/>
              <w:right w:w="108" w:type="dxa"/>
            </w:tcMar>
            <w:vAlign w:val="center"/>
            <w:hideMark/>
          </w:tcPr>
          <w:p w:rsidR="00192640" w:rsidRPr="00803E17" w:rsidRDefault="009F1520" w:rsidP="0084242F">
            <w:pPr>
              <w:spacing w:after="0"/>
              <w:rPr>
                <w:rFonts w:ascii="Arial" w:hAnsi="Arial" w:cs="Arial"/>
                <w:sz w:val="24"/>
                <w:lang w:val="en-US"/>
              </w:rPr>
            </w:pPr>
            <w:r w:rsidRPr="00803E17">
              <w:rPr>
                <w:rFonts w:ascii="Arial" w:hAnsi="Arial" w:cs="Arial"/>
                <w:sz w:val="24"/>
                <w:lang w:val="en-US"/>
              </w:rPr>
              <w:t>31/07</w:t>
            </w:r>
            <w:r w:rsidR="00192640" w:rsidRPr="00803E17">
              <w:rPr>
                <w:rFonts w:ascii="Arial" w:hAnsi="Arial" w:cs="Arial"/>
                <w:sz w:val="24"/>
                <w:lang w:val="en-US"/>
              </w:rPr>
              <w:t>/2020</w:t>
            </w:r>
          </w:p>
        </w:tc>
      </w:tr>
      <w:tr w:rsidR="00192640" w:rsidRPr="00CE2280" w:rsidTr="00DA1D5E">
        <w:tblPrEx>
          <w:tblCellMar>
            <w:left w:w="0" w:type="dxa"/>
          </w:tblCellMar>
        </w:tblPrEx>
        <w:trPr>
          <w:trHeight w:hRule="exact" w:val="714"/>
        </w:trPr>
        <w:tc>
          <w:tcPr>
            <w:tcW w:w="3687" w:type="dxa"/>
            <w:gridSpan w:val="2"/>
            <w:tcBorders>
              <w:top w:val="nil"/>
              <w:left w:val="single" w:sz="8" w:space="0" w:color="808080"/>
              <w:bottom w:val="single" w:sz="8" w:space="0" w:color="808080"/>
              <w:right w:val="single" w:sz="8" w:space="0" w:color="808080"/>
            </w:tcBorders>
            <w:tcMar>
              <w:top w:w="0" w:type="dxa"/>
              <w:left w:w="108" w:type="dxa"/>
              <w:bottom w:w="0" w:type="dxa"/>
              <w:right w:w="108" w:type="dxa"/>
            </w:tcMar>
            <w:vAlign w:val="center"/>
            <w:hideMark/>
          </w:tcPr>
          <w:p w:rsidR="00192640" w:rsidRPr="00803E17" w:rsidRDefault="00192640" w:rsidP="0084242F">
            <w:pPr>
              <w:spacing w:after="0"/>
              <w:rPr>
                <w:rFonts w:ascii="Arial" w:hAnsi="Arial" w:cs="Arial"/>
                <w:b/>
                <w:bCs/>
                <w:sz w:val="24"/>
                <w:lang w:val="en-US" w:eastAsia="en-GB"/>
              </w:rPr>
            </w:pPr>
            <w:r w:rsidRPr="00803E17">
              <w:rPr>
                <w:rFonts w:ascii="Arial" w:hAnsi="Arial" w:cs="Arial"/>
                <w:b/>
                <w:bCs/>
                <w:sz w:val="24"/>
                <w:lang w:val="en-US" w:eastAsia="en-GB"/>
              </w:rPr>
              <w:t>Escalation route</w:t>
            </w:r>
          </w:p>
        </w:tc>
        <w:tc>
          <w:tcPr>
            <w:tcW w:w="6378" w:type="dxa"/>
            <w:gridSpan w:val="5"/>
            <w:tcBorders>
              <w:top w:val="nil"/>
              <w:left w:val="nil"/>
              <w:bottom w:val="single" w:sz="8" w:space="0" w:color="808080"/>
              <w:right w:val="single" w:sz="8" w:space="0" w:color="808080"/>
            </w:tcBorders>
            <w:tcMar>
              <w:top w:w="0" w:type="dxa"/>
              <w:left w:w="108" w:type="dxa"/>
              <w:bottom w:w="0" w:type="dxa"/>
              <w:right w:w="108" w:type="dxa"/>
            </w:tcMar>
            <w:vAlign w:val="center"/>
            <w:hideMark/>
          </w:tcPr>
          <w:p w:rsidR="00192640" w:rsidRPr="00803E17" w:rsidRDefault="00192640" w:rsidP="008A3D9C">
            <w:pPr>
              <w:spacing w:after="0"/>
              <w:rPr>
                <w:rFonts w:ascii="Arial" w:hAnsi="Arial" w:cs="Arial"/>
                <w:color w:val="000000" w:themeColor="text1"/>
                <w:sz w:val="24"/>
                <w:lang w:val="en-US" w:eastAsia="en-GB"/>
              </w:rPr>
            </w:pPr>
            <w:r w:rsidRPr="00803E17">
              <w:rPr>
                <w:rFonts w:ascii="Arial" w:hAnsi="Arial" w:cs="Arial"/>
                <w:color w:val="000000" w:themeColor="text1"/>
                <w:sz w:val="24"/>
                <w:lang w:val="en-US" w:eastAsia="en-GB"/>
              </w:rPr>
              <w:t>Directorate Performance Review, Performance Committee,</w:t>
            </w:r>
            <w:r w:rsidR="008A3D9C" w:rsidRPr="00803E17">
              <w:rPr>
                <w:rFonts w:ascii="Arial" w:hAnsi="Arial" w:cs="Arial"/>
                <w:color w:val="000000" w:themeColor="text1"/>
                <w:sz w:val="24"/>
                <w:lang w:val="en-US" w:eastAsia="en-GB"/>
              </w:rPr>
              <w:t xml:space="preserve"> </w:t>
            </w:r>
            <w:r w:rsidR="008A3D9C" w:rsidRPr="00803E17">
              <w:rPr>
                <w:rFonts w:ascii="Arial" w:hAnsi="Arial" w:cs="Arial"/>
                <w:sz w:val="24"/>
                <w:szCs w:val="20"/>
                <w:lang w:val="en-US" w:eastAsia="en-GB"/>
              </w:rPr>
              <w:t>Board of Directors</w:t>
            </w:r>
          </w:p>
        </w:tc>
      </w:tr>
      <w:tr w:rsidR="00192640" w:rsidRPr="00CE2280" w:rsidTr="00DA1D5E">
        <w:tblPrEx>
          <w:tblCellMar>
            <w:left w:w="0" w:type="dxa"/>
          </w:tblCellMar>
        </w:tblPrEx>
        <w:trPr>
          <w:trHeight w:hRule="exact" w:val="425"/>
        </w:trPr>
        <w:tc>
          <w:tcPr>
            <w:tcW w:w="3687" w:type="dxa"/>
            <w:gridSpan w:val="2"/>
            <w:tcBorders>
              <w:top w:val="nil"/>
              <w:left w:val="single" w:sz="8" w:space="0" w:color="808080"/>
              <w:bottom w:val="single" w:sz="8" w:space="0" w:color="808080"/>
              <w:right w:val="single" w:sz="8" w:space="0" w:color="808080"/>
            </w:tcBorders>
            <w:tcMar>
              <w:top w:w="0" w:type="dxa"/>
              <w:left w:w="108" w:type="dxa"/>
              <w:bottom w:w="0" w:type="dxa"/>
              <w:right w:w="108" w:type="dxa"/>
            </w:tcMar>
            <w:vAlign w:val="center"/>
            <w:hideMark/>
          </w:tcPr>
          <w:p w:rsidR="00192640" w:rsidRPr="00803E17" w:rsidRDefault="00192640" w:rsidP="0084242F">
            <w:pPr>
              <w:spacing w:after="0"/>
              <w:rPr>
                <w:rFonts w:ascii="Arial" w:hAnsi="Arial" w:cs="Arial"/>
                <w:b/>
                <w:bCs/>
                <w:sz w:val="24"/>
                <w:lang w:val="en-US" w:eastAsia="en-GB"/>
              </w:rPr>
            </w:pPr>
            <w:r w:rsidRPr="00803E17">
              <w:rPr>
                <w:rFonts w:ascii="Arial" w:hAnsi="Arial" w:cs="Arial"/>
                <w:b/>
                <w:bCs/>
                <w:sz w:val="24"/>
                <w:lang w:val="en-US" w:eastAsia="en-GB"/>
              </w:rPr>
              <w:t>Executive Lead</w:t>
            </w:r>
          </w:p>
        </w:tc>
        <w:tc>
          <w:tcPr>
            <w:tcW w:w="6378" w:type="dxa"/>
            <w:gridSpan w:val="5"/>
            <w:tcBorders>
              <w:top w:val="nil"/>
              <w:left w:val="nil"/>
              <w:bottom w:val="single" w:sz="8" w:space="0" w:color="808080"/>
              <w:right w:val="single" w:sz="8" w:space="0" w:color="808080"/>
            </w:tcBorders>
            <w:tcMar>
              <w:top w:w="0" w:type="dxa"/>
              <w:left w:w="108" w:type="dxa"/>
              <w:bottom w:w="0" w:type="dxa"/>
              <w:right w:w="108" w:type="dxa"/>
            </w:tcMar>
            <w:vAlign w:val="center"/>
            <w:hideMark/>
          </w:tcPr>
          <w:p w:rsidR="00192640" w:rsidRPr="00803E17" w:rsidRDefault="00192640" w:rsidP="0084242F">
            <w:pPr>
              <w:spacing w:after="0"/>
              <w:rPr>
                <w:rFonts w:ascii="Arial" w:hAnsi="Arial" w:cs="Arial"/>
                <w:color w:val="000000" w:themeColor="text1"/>
                <w:sz w:val="24"/>
                <w:lang w:val="en-US" w:eastAsia="en-GB"/>
              </w:rPr>
            </w:pPr>
            <w:r w:rsidRPr="00803E17">
              <w:rPr>
                <w:rFonts w:ascii="Arial" w:hAnsi="Arial" w:cs="Arial"/>
                <w:color w:val="000000" w:themeColor="text1"/>
                <w:sz w:val="24"/>
                <w:lang w:val="en-US" w:eastAsia="en-GB"/>
              </w:rPr>
              <w:t>Joan Spencer, Director of Operations</w:t>
            </w:r>
          </w:p>
        </w:tc>
      </w:tr>
    </w:tbl>
    <w:p w:rsidR="00192640" w:rsidRPr="00C549B2" w:rsidRDefault="00192640" w:rsidP="00905D2D">
      <w:pPr>
        <w:spacing w:after="0" w:line="240" w:lineRule="auto"/>
        <w:ind w:left="-426"/>
        <w:jc w:val="both"/>
        <w:rPr>
          <w:rFonts w:ascii="Arial" w:eastAsia="Calibri" w:hAnsi="Arial" w:cs="Arial"/>
          <w:b/>
          <w:bCs/>
          <w:sz w:val="28"/>
          <w:szCs w:val="28"/>
          <w:highlight w:val="yellow"/>
        </w:rPr>
      </w:pPr>
    </w:p>
    <w:p w:rsidR="00E309FF" w:rsidRPr="00C549B2" w:rsidRDefault="00E309FF" w:rsidP="00905D2D">
      <w:pPr>
        <w:spacing w:after="0" w:line="240" w:lineRule="auto"/>
        <w:ind w:left="-426"/>
        <w:jc w:val="both"/>
        <w:rPr>
          <w:rFonts w:ascii="Arial" w:eastAsia="Calibri" w:hAnsi="Arial" w:cs="Arial"/>
          <w:b/>
          <w:bCs/>
          <w:sz w:val="28"/>
          <w:szCs w:val="28"/>
          <w:highlight w:val="yellow"/>
        </w:rPr>
      </w:pPr>
    </w:p>
    <w:p w:rsidR="00F74DAF" w:rsidRPr="00AE798A" w:rsidRDefault="00097A70" w:rsidP="002F3101">
      <w:pPr>
        <w:spacing w:after="0" w:line="240" w:lineRule="auto"/>
        <w:ind w:left="-426"/>
        <w:jc w:val="both"/>
        <w:rPr>
          <w:rFonts w:ascii="Arial" w:eastAsia="Calibri" w:hAnsi="Arial" w:cs="Arial"/>
          <w:b/>
          <w:bCs/>
          <w:sz w:val="32"/>
          <w:szCs w:val="24"/>
        </w:rPr>
      </w:pPr>
      <w:r w:rsidRPr="00AE798A">
        <w:rPr>
          <w:rFonts w:ascii="Arial" w:eastAsia="Calibri" w:hAnsi="Arial" w:cs="Arial"/>
          <w:b/>
          <w:bCs/>
          <w:sz w:val="32"/>
          <w:szCs w:val="24"/>
        </w:rPr>
        <w:t xml:space="preserve">2.3 </w:t>
      </w:r>
      <w:r w:rsidR="00F74DAF" w:rsidRPr="00AE798A">
        <w:rPr>
          <w:rFonts w:ascii="Arial" w:eastAsia="Calibri" w:hAnsi="Arial" w:cs="Arial"/>
          <w:b/>
          <w:bCs/>
          <w:sz w:val="32"/>
          <w:szCs w:val="24"/>
        </w:rPr>
        <w:t>Quality</w:t>
      </w:r>
      <w:r w:rsidR="001F1BE0" w:rsidRPr="00AE798A">
        <w:rPr>
          <w:rFonts w:ascii="Arial" w:eastAsia="Calibri" w:hAnsi="Arial" w:cs="Arial"/>
          <w:b/>
          <w:bCs/>
          <w:sz w:val="32"/>
          <w:szCs w:val="24"/>
        </w:rPr>
        <w:t xml:space="preserve"> </w:t>
      </w:r>
    </w:p>
    <w:p w:rsidR="00DA73B2" w:rsidRPr="00C549B2" w:rsidRDefault="00DA73B2" w:rsidP="001F1BE0">
      <w:pPr>
        <w:autoSpaceDE w:val="0"/>
        <w:autoSpaceDN w:val="0"/>
        <w:adjustRightInd w:val="0"/>
        <w:spacing w:after="0" w:line="240" w:lineRule="auto"/>
        <w:ind w:left="-426"/>
        <w:jc w:val="both"/>
        <w:rPr>
          <w:rFonts w:ascii="Arial" w:eastAsia="Calibri" w:hAnsi="Arial" w:cs="Arial"/>
          <w:b/>
          <w:bCs/>
          <w:sz w:val="28"/>
          <w:szCs w:val="28"/>
          <w:highlight w:val="yellow"/>
        </w:rPr>
      </w:pPr>
    </w:p>
    <w:tbl>
      <w:tblPr>
        <w:tblW w:w="10065" w:type="dxa"/>
        <w:tblInd w:w="-318" w:type="dxa"/>
        <w:tblLayout w:type="fixed"/>
        <w:tblCellMar>
          <w:left w:w="0" w:type="dxa"/>
          <w:right w:w="0" w:type="dxa"/>
        </w:tblCellMar>
        <w:tblLook w:val="04A0" w:firstRow="1" w:lastRow="0" w:firstColumn="1" w:lastColumn="0" w:noHBand="0" w:noVBand="1"/>
      </w:tblPr>
      <w:tblGrid>
        <w:gridCol w:w="2553"/>
        <w:gridCol w:w="1701"/>
        <w:gridCol w:w="1275"/>
        <w:gridCol w:w="1134"/>
        <w:gridCol w:w="1134"/>
        <w:gridCol w:w="2268"/>
      </w:tblGrid>
      <w:tr w:rsidR="002F3101" w:rsidTr="00DA1D5E">
        <w:trPr>
          <w:trHeight w:hRule="exact" w:val="457"/>
        </w:trPr>
        <w:tc>
          <w:tcPr>
            <w:tcW w:w="4254" w:type="dxa"/>
            <w:gridSpan w:val="2"/>
            <w:vMerge w:val="restart"/>
            <w:tcBorders>
              <w:top w:val="single" w:sz="8" w:space="0" w:color="808080"/>
              <w:left w:val="single" w:sz="8" w:space="0" w:color="808080"/>
              <w:bottom w:val="single" w:sz="8" w:space="0" w:color="808080"/>
              <w:right w:val="single" w:sz="8" w:space="0" w:color="808080"/>
            </w:tcBorders>
            <w:shd w:val="clear" w:color="auto" w:fill="4F81BD"/>
            <w:tcMar>
              <w:top w:w="0" w:type="dxa"/>
              <w:left w:w="108" w:type="dxa"/>
              <w:bottom w:w="0" w:type="dxa"/>
              <w:right w:w="108" w:type="dxa"/>
            </w:tcMar>
            <w:vAlign w:val="center"/>
            <w:hideMark/>
          </w:tcPr>
          <w:p w:rsidR="002F3101" w:rsidRPr="001471A6" w:rsidRDefault="002F3101" w:rsidP="005952F8">
            <w:pPr>
              <w:spacing w:after="0" w:line="360" w:lineRule="auto"/>
              <w:rPr>
                <w:rFonts w:ascii="Arial" w:hAnsi="Arial" w:cs="Arial"/>
                <w:b/>
                <w:bCs/>
                <w:color w:val="FFFFFF"/>
                <w:lang w:val="en-US"/>
              </w:rPr>
            </w:pPr>
            <w:r w:rsidRPr="00123998">
              <w:rPr>
                <w:rFonts w:ascii="Arial" w:hAnsi="Arial" w:cs="Arial"/>
                <w:b/>
                <w:bCs/>
                <w:color w:val="FFFFFF"/>
                <w:sz w:val="24"/>
                <w:lang w:val="en-US"/>
              </w:rPr>
              <w:t>Serious Untoward Incident</w:t>
            </w:r>
            <w:r w:rsidR="006C2A77" w:rsidRPr="00123998">
              <w:rPr>
                <w:rFonts w:ascii="Arial" w:hAnsi="Arial" w:cs="Arial"/>
                <w:b/>
                <w:bCs/>
                <w:color w:val="FFFFFF"/>
                <w:sz w:val="24"/>
                <w:lang w:val="en-US"/>
              </w:rPr>
              <w:t>s</w:t>
            </w:r>
            <w:r w:rsidRPr="00123998">
              <w:rPr>
                <w:rFonts w:ascii="Arial" w:hAnsi="Arial" w:cs="Arial"/>
                <w:b/>
                <w:bCs/>
                <w:color w:val="FFFFFF"/>
                <w:sz w:val="24"/>
                <w:lang w:val="en-US"/>
              </w:rPr>
              <w:t xml:space="preserve"> (SUI)</w:t>
            </w:r>
          </w:p>
        </w:tc>
        <w:tc>
          <w:tcPr>
            <w:tcW w:w="1275" w:type="dxa"/>
            <w:tcBorders>
              <w:top w:val="single" w:sz="8" w:space="0" w:color="808080"/>
              <w:left w:val="nil"/>
              <w:bottom w:val="single" w:sz="8" w:space="0" w:color="808080"/>
              <w:right w:val="single" w:sz="8" w:space="0" w:color="808080"/>
            </w:tcBorders>
            <w:vAlign w:val="center"/>
            <w:hideMark/>
          </w:tcPr>
          <w:p w:rsidR="002F3101" w:rsidRDefault="002F3101" w:rsidP="00103278">
            <w:pPr>
              <w:spacing w:after="0" w:line="240" w:lineRule="auto"/>
              <w:jc w:val="center"/>
              <w:rPr>
                <w:rFonts w:ascii="Arial" w:hAnsi="Arial" w:cs="Arial"/>
                <w:b/>
                <w:bCs/>
                <w:lang w:val="en-US"/>
              </w:rPr>
            </w:pPr>
            <w:r>
              <w:rPr>
                <w:rFonts w:ascii="Arial" w:hAnsi="Arial" w:cs="Arial"/>
                <w:b/>
                <w:bCs/>
                <w:lang w:val="en-US"/>
              </w:rPr>
              <w:t>Target</w:t>
            </w:r>
          </w:p>
        </w:tc>
        <w:tc>
          <w:tcPr>
            <w:tcW w:w="1134" w:type="dxa"/>
            <w:tcBorders>
              <w:top w:val="single" w:sz="8" w:space="0" w:color="808080"/>
              <w:left w:val="nil"/>
              <w:bottom w:val="single" w:sz="8" w:space="0" w:color="808080"/>
              <w:right w:val="single" w:sz="8" w:space="0" w:color="808080"/>
            </w:tcBorders>
            <w:vAlign w:val="center"/>
            <w:hideMark/>
          </w:tcPr>
          <w:p w:rsidR="002F3101" w:rsidRDefault="002F3101" w:rsidP="00103278">
            <w:pPr>
              <w:spacing w:after="0" w:line="240" w:lineRule="auto"/>
              <w:jc w:val="center"/>
              <w:rPr>
                <w:rFonts w:ascii="Arial" w:hAnsi="Arial" w:cs="Arial"/>
                <w:b/>
                <w:bCs/>
                <w:lang w:val="en-US"/>
              </w:rPr>
            </w:pPr>
            <w:r>
              <w:rPr>
                <w:rFonts w:ascii="Arial" w:hAnsi="Arial" w:cs="Arial"/>
                <w:b/>
                <w:bCs/>
                <w:lang w:val="en-US"/>
              </w:rPr>
              <w:t xml:space="preserve">May </w:t>
            </w:r>
            <w:r w:rsidR="006C2A77">
              <w:rPr>
                <w:rFonts w:ascii="Arial" w:hAnsi="Arial" w:cs="Arial"/>
                <w:b/>
                <w:bCs/>
                <w:lang w:val="en-US"/>
              </w:rPr>
              <w:t>20</w:t>
            </w:r>
          </w:p>
        </w:tc>
        <w:tc>
          <w:tcPr>
            <w:tcW w:w="1134" w:type="dxa"/>
            <w:tcBorders>
              <w:top w:val="single" w:sz="8" w:space="0" w:color="808080"/>
              <w:left w:val="nil"/>
              <w:bottom w:val="single" w:sz="8" w:space="0" w:color="808080"/>
              <w:right w:val="single" w:sz="8" w:space="0" w:color="808080"/>
            </w:tcBorders>
            <w:vAlign w:val="center"/>
            <w:hideMark/>
          </w:tcPr>
          <w:p w:rsidR="002F3101" w:rsidRDefault="002F3101" w:rsidP="00103278">
            <w:pPr>
              <w:spacing w:after="0" w:line="240" w:lineRule="auto"/>
              <w:jc w:val="center"/>
              <w:rPr>
                <w:rFonts w:ascii="Arial" w:hAnsi="Arial" w:cs="Arial"/>
                <w:b/>
                <w:bCs/>
                <w:lang w:val="en-US"/>
              </w:rPr>
            </w:pPr>
            <w:r>
              <w:rPr>
                <w:rFonts w:ascii="Arial" w:hAnsi="Arial" w:cs="Arial"/>
                <w:b/>
                <w:bCs/>
                <w:lang w:val="en-US"/>
              </w:rPr>
              <w:t>YTD</w:t>
            </w:r>
          </w:p>
        </w:tc>
        <w:tc>
          <w:tcPr>
            <w:tcW w:w="2268" w:type="dxa"/>
            <w:tcBorders>
              <w:top w:val="single" w:sz="8" w:space="0" w:color="808080"/>
              <w:left w:val="nil"/>
              <w:bottom w:val="single" w:sz="8" w:space="0" w:color="808080"/>
              <w:right w:val="single" w:sz="8" w:space="0" w:color="808080"/>
            </w:tcBorders>
            <w:vAlign w:val="center"/>
            <w:hideMark/>
          </w:tcPr>
          <w:p w:rsidR="002F3101" w:rsidRDefault="002F3101" w:rsidP="00103278">
            <w:pPr>
              <w:spacing w:after="0" w:line="240" w:lineRule="auto"/>
              <w:jc w:val="center"/>
              <w:rPr>
                <w:rFonts w:ascii="Arial" w:hAnsi="Arial" w:cs="Arial"/>
                <w:b/>
                <w:bCs/>
                <w:lang w:val="en-US"/>
              </w:rPr>
            </w:pPr>
            <w:r>
              <w:rPr>
                <w:rFonts w:ascii="Arial" w:hAnsi="Arial" w:cs="Arial"/>
                <w:b/>
                <w:bCs/>
                <w:lang w:val="en-US"/>
              </w:rPr>
              <w:t>12 month trend</w:t>
            </w:r>
          </w:p>
        </w:tc>
      </w:tr>
      <w:tr w:rsidR="002F3101" w:rsidTr="00DA1D5E">
        <w:trPr>
          <w:trHeight w:hRule="exact" w:val="425"/>
        </w:trPr>
        <w:tc>
          <w:tcPr>
            <w:tcW w:w="4254" w:type="dxa"/>
            <w:gridSpan w:val="2"/>
            <w:vMerge/>
            <w:tcBorders>
              <w:top w:val="single" w:sz="8" w:space="0" w:color="808080"/>
              <w:left w:val="single" w:sz="8" w:space="0" w:color="808080"/>
              <w:bottom w:val="single" w:sz="8" w:space="0" w:color="808080"/>
              <w:right w:val="single" w:sz="8" w:space="0" w:color="808080"/>
            </w:tcBorders>
            <w:vAlign w:val="center"/>
            <w:hideMark/>
          </w:tcPr>
          <w:p w:rsidR="002F3101" w:rsidRPr="001471A6" w:rsidRDefault="002F3101" w:rsidP="005952F8">
            <w:pPr>
              <w:rPr>
                <w:rFonts w:ascii="Arial" w:hAnsi="Arial" w:cs="Arial"/>
                <w:b/>
                <w:bCs/>
                <w:color w:val="FFFFFF"/>
                <w:lang w:val="en-US"/>
              </w:rPr>
            </w:pPr>
          </w:p>
        </w:tc>
        <w:tc>
          <w:tcPr>
            <w:tcW w:w="1275" w:type="dxa"/>
            <w:tcBorders>
              <w:top w:val="nil"/>
              <w:left w:val="nil"/>
              <w:bottom w:val="single" w:sz="8" w:space="0" w:color="808080"/>
              <w:right w:val="single" w:sz="8" w:space="0" w:color="808080"/>
            </w:tcBorders>
            <w:shd w:val="clear" w:color="auto" w:fill="FFFFFF"/>
            <w:vAlign w:val="center"/>
            <w:hideMark/>
          </w:tcPr>
          <w:p w:rsidR="002F3101" w:rsidRDefault="002F3101" w:rsidP="00103278">
            <w:pPr>
              <w:spacing w:after="0" w:line="240" w:lineRule="auto"/>
              <w:jc w:val="center"/>
              <w:rPr>
                <w:rFonts w:ascii="Arial" w:hAnsi="Arial" w:cs="Arial"/>
                <w:lang w:val="en-US"/>
              </w:rPr>
            </w:pPr>
            <w:r>
              <w:rPr>
                <w:rFonts w:ascii="Arial" w:hAnsi="Arial" w:cs="Arial"/>
                <w:lang w:val="en-US"/>
              </w:rPr>
              <w:t>0</w:t>
            </w:r>
          </w:p>
        </w:tc>
        <w:tc>
          <w:tcPr>
            <w:tcW w:w="1134" w:type="dxa"/>
            <w:tcBorders>
              <w:top w:val="nil"/>
              <w:left w:val="nil"/>
              <w:bottom w:val="single" w:sz="8" w:space="0" w:color="808080"/>
              <w:right w:val="single" w:sz="8" w:space="0" w:color="808080"/>
            </w:tcBorders>
            <w:shd w:val="clear" w:color="auto" w:fill="FF0000"/>
            <w:vAlign w:val="center"/>
          </w:tcPr>
          <w:p w:rsidR="002F3101" w:rsidRDefault="002F3101" w:rsidP="00103278">
            <w:pPr>
              <w:spacing w:after="0" w:line="240" w:lineRule="auto"/>
              <w:jc w:val="center"/>
              <w:rPr>
                <w:rFonts w:ascii="Arial" w:hAnsi="Arial" w:cs="Arial"/>
                <w:b/>
                <w:bCs/>
                <w:color w:val="FFFFFF"/>
                <w:lang w:val="en-US"/>
              </w:rPr>
            </w:pPr>
            <w:r>
              <w:rPr>
                <w:rFonts w:ascii="Arial" w:hAnsi="Arial" w:cs="Arial"/>
                <w:b/>
                <w:bCs/>
                <w:color w:val="FFFFFF"/>
                <w:lang w:val="en-US"/>
              </w:rPr>
              <w:t>1</w:t>
            </w:r>
          </w:p>
        </w:tc>
        <w:tc>
          <w:tcPr>
            <w:tcW w:w="1134" w:type="dxa"/>
            <w:tcBorders>
              <w:top w:val="nil"/>
              <w:left w:val="nil"/>
              <w:bottom w:val="single" w:sz="8" w:space="0" w:color="808080"/>
              <w:right w:val="single" w:sz="8" w:space="0" w:color="808080"/>
            </w:tcBorders>
            <w:shd w:val="clear" w:color="auto" w:fill="FF0000"/>
            <w:vAlign w:val="center"/>
          </w:tcPr>
          <w:p w:rsidR="002F3101" w:rsidRDefault="002F3101" w:rsidP="00103278">
            <w:pPr>
              <w:spacing w:after="0" w:line="240" w:lineRule="auto"/>
              <w:jc w:val="center"/>
              <w:rPr>
                <w:rFonts w:ascii="Arial" w:hAnsi="Arial" w:cs="Arial"/>
                <w:b/>
                <w:bCs/>
                <w:color w:val="FFFFFF"/>
                <w:lang w:val="en-US"/>
              </w:rPr>
            </w:pPr>
            <w:r>
              <w:rPr>
                <w:rFonts w:ascii="Arial" w:hAnsi="Arial" w:cs="Arial"/>
                <w:b/>
                <w:bCs/>
                <w:color w:val="FFFFFF"/>
                <w:lang w:val="en-US"/>
              </w:rPr>
              <w:t>1</w:t>
            </w:r>
          </w:p>
        </w:tc>
        <w:tc>
          <w:tcPr>
            <w:tcW w:w="2268" w:type="dxa"/>
            <w:tcBorders>
              <w:top w:val="nil"/>
              <w:left w:val="nil"/>
              <w:bottom w:val="single" w:sz="8" w:space="0" w:color="808080"/>
              <w:right w:val="single" w:sz="8" w:space="0" w:color="808080"/>
            </w:tcBorders>
            <w:shd w:val="clear" w:color="auto" w:fill="FFFFFF"/>
            <w:vAlign w:val="center"/>
            <w:hideMark/>
          </w:tcPr>
          <w:p w:rsidR="002F3101" w:rsidRDefault="00311BAF" w:rsidP="00103278">
            <w:pPr>
              <w:spacing w:after="0" w:line="240" w:lineRule="auto"/>
              <w:jc w:val="center"/>
              <w:rPr>
                <w:rFonts w:ascii="Arial" w:hAnsi="Arial" w:cs="Arial"/>
                <w:lang w:val="en-US"/>
              </w:rPr>
            </w:pPr>
            <w:r>
              <w:rPr>
                <w:rFonts w:ascii="Arial" w:hAnsi="Arial" w:cs="Arial"/>
                <w:noProof/>
                <w:lang w:eastAsia="en-GB"/>
              </w:rPr>
              <w:drawing>
                <wp:inline distT="0" distB="0" distL="0" distR="0" wp14:anchorId="38B2D01C" wp14:editId="3EE6974A">
                  <wp:extent cx="1238250" cy="23495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51637" cy="237490"/>
                          </a:xfrm>
                          <a:prstGeom prst="rect">
                            <a:avLst/>
                          </a:prstGeom>
                          <a:noFill/>
                        </pic:spPr>
                      </pic:pic>
                    </a:graphicData>
                  </a:graphic>
                </wp:inline>
              </w:drawing>
            </w:r>
          </w:p>
          <w:p w:rsidR="00F84B50" w:rsidRDefault="00F84B50" w:rsidP="00103278">
            <w:pPr>
              <w:spacing w:after="0" w:line="240" w:lineRule="auto"/>
              <w:jc w:val="center"/>
              <w:rPr>
                <w:rFonts w:ascii="Arial" w:hAnsi="Arial" w:cs="Arial"/>
                <w:lang w:val="en-US"/>
              </w:rPr>
            </w:pPr>
          </w:p>
        </w:tc>
      </w:tr>
      <w:tr w:rsidR="002F3101" w:rsidTr="00DA1D5E">
        <w:trPr>
          <w:trHeight w:val="1015"/>
        </w:trPr>
        <w:tc>
          <w:tcPr>
            <w:tcW w:w="10065" w:type="dxa"/>
            <w:gridSpan w:val="6"/>
            <w:tcBorders>
              <w:top w:val="nil"/>
              <w:left w:val="single" w:sz="8" w:space="0" w:color="808080"/>
              <w:bottom w:val="single" w:sz="4" w:space="0" w:color="808080"/>
              <w:right w:val="single" w:sz="8" w:space="0" w:color="808080"/>
            </w:tcBorders>
            <w:tcMar>
              <w:top w:w="0" w:type="dxa"/>
              <w:left w:w="108" w:type="dxa"/>
              <w:bottom w:w="0" w:type="dxa"/>
              <w:right w:w="108" w:type="dxa"/>
            </w:tcMar>
            <w:hideMark/>
          </w:tcPr>
          <w:p w:rsidR="002F3101" w:rsidRPr="00803E17" w:rsidRDefault="002F3101" w:rsidP="005952F8">
            <w:pPr>
              <w:spacing w:before="120" w:afterLines="40" w:after="96"/>
              <w:rPr>
                <w:rFonts w:ascii="Arial" w:hAnsi="Arial" w:cs="Arial"/>
                <w:b/>
                <w:bCs/>
                <w:sz w:val="24"/>
                <w:lang w:val="en-US" w:eastAsia="en-GB"/>
              </w:rPr>
            </w:pPr>
            <w:r w:rsidRPr="00803E17">
              <w:rPr>
                <w:rFonts w:ascii="Arial" w:hAnsi="Arial" w:cs="Arial"/>
                <w:b/>
                <w:bCs/>
                <w:sz w:val="24"/>
                <w:lang w:val="en-US" w:eastAsia="en-GB"/>
              </w:rPr>
              <w:t xml:space="preserve">Description of SUI: </w:t>
            </w:r>
          </w:p>
          <w:p w:rsidR="002F3101" w:rsidRPr="00803E17" w:rsidRDefault="0084242F" w:rsidP="0084242F">
            <w:pPr>
              <w:pStyle w:val="Default"/>
              <w:jc w:val="both"/>
              <w:rPr>
                <w:szCs w:val="22"/>
              </w:rPr>
            </w:pPr>
            <w:r w:rsidRPr="00803E17">
              <w:rPr>
                <w:szCs w:val="22"/>
              </w:rPr>
              <w:t>A patient was not prescribed their</w:t>
            </w:r>
            <w:r w:rsidR="002F3101" w:rsidRPr="00803E17">
              <w:rPr>
                <w:szCs w:val="22"/>
              </w:rPr>
              <w:t xml:space="preserve"> usual medication and </w:t>
            </w:r>
            <w:r w:rsidRPr="00803E17">
              <w:rPr>
                <w:szCs w:val="22"/>
              </w:rPr>
              <w:t>had a rapid deterioration in</w:t>
            </w:r>
            <w:r w:rsidR="002F3101" w:rsidRPr="00803E17">
              <w:rPr>
                <w:szCs w:val="22"/>
              </w:rPr>
              <w:t xml:space="preserve"> health an</w:t>
            </w:r>
            <w:r w:rsidRPr="00803E17">
              <w:rPr>
                <w:szCs w:val="22"/>
              </w:rPr>
              <w:t>d an increased length of stay. The p</w:t>
            </w:r>
            <w:r w:rsidR="002F3101" w:rsidRPr="00803E17">
              <w:rPr>
                <w:szCs w:val="22"/>
              </w:rPr>
              <w:t>atient recovered well and was discharged home on 7</w:t>
            </w:r>
            <w:r w:rsidR="002F3101" w:rsidRPr="00803E17">
              <w:rPr>
                <w:szCs w:val="22"/>
                <w:vertAlign w:val="superscript"/>
              </w:rPr>
              <w:t>th</w:t>
            </w:r>
            <w:r w:rsidR="002F3101" w:rsidRPr="00803E17">
              <w:rPr>
                <w:szCs w:val="22"/>
              </w:rPr>
              <w:t xml:space="preserve"> May 2020.</w:t>
            </w:r>
          </w:p>
          <w:p w:rsidR="002F3101" w:rsidRPr="00C549B2" w:rsidRDefault="002F3101" w:rsidP="005952F8">
            <w:pPr>
              <w:pStyle w:val="Default"/>
              <w:rPr>
                <w:sz w:val="12"/>
                <w:szCs w:val="12"/>
              </w:rPr>
            </w:pPr>
          </w:p>
        </w:tc>
      </w:tr>
      <w:tr w:rsidR="002F3101" w:rsidTr="00DA1D5E">
        <w:trPr>
          <w:trHeight w:val="638"/>
        </w:trPr>
        <w:tc>
          <w:tcPr>
            <w:tcW w:w="10065" w:type="dxa"/>
            <w:gridSpan w:val="6"/>
            <w:tcBorders>
              <w:top w:val="single" w:sz="4" w:space="0" w:color="808080"/>
              <w:left w:val="single" w:sz="8" w:space="0" w:color="808080"/>
              <w:bottom w:val="single" w:sz="4" w:space="0" w:color="808080" w:themeColor="background1" w:themeShade="80"/>
              <w:right w:val="single" w:sz="8" w:space="0" w:color="808080"/>
            </w:tcBorders>
            <w:tcMar>
              <w:top w:w="0" w:type="dxa"/>
              <w:left w:w="108" w:type="dxa"/>
              <w:bottom w:w="0" w:type="dxa"/>
              <w:right w:w="108" w:type="dxa"/>
            </w:tcMar>
            <w:hideMark/>
          </w:tcPr>
          <w:p w:rsidR="002F3101" w:rsidRPr="00803E17" w:rsidRDefault="0084242F" w:rsidP="00693C54">
            <w:pPr>
              <w:spacing w:before="60" w:afterLines="40" w:after="96" w:line="240" w:lineRule="auto"/>
              <w:rPr>
                <w:rFonts w:ascii="Arial" w:hAnsi="Arial" w:cs="Arial"/>
                <w:b/>
                <w:bCs/>
                <w:sz w:val="24"/>
                <w:lang w:val="en-US" w:eastAsia="en-GB"/>
              </w:rPr>
            </w:pPr>
            <w:r w:rsidRPr="00803E17">
              <w:rPr>
                <w:rFonts w:ascii="Arial" w:hAnsi="Arial" w:cs="Arial"/>
                <w:b/>
                <w:bCs/>
                <w:sz w:val="24"/>
                <w:lang w:val="en-US" w:eastAsia="en-GB"/>
              </w:rPr>
              <w:t>Immediate action taken</w:t>
            </w:r>
            <w:r w:rsidR="002F3101" w:rsidRPr="00803E17">
              <w:rPr>
                <w:rFonts w:ascii="Arial" w:hAnsi="Arial" w:cs="Arial"/>
                <w:b/>
                <w:bCs/>
                <w:sz w:val="24"/>
                <w:lang w:val="en-US" w:eastAsia="en-GB"/>
              </w:rPr>
              <w:t>:</w:t>
            </w:r>
          </w:p>
          <w:p w:rsidR="002F3101" w:rsidRPr="00803E17" w:rsidRDefault="0084242F" w:rsidP="00103278">
            <w:pPr>
              <w:pStyle w:val="ListParagraph"/>
              <w:numPr>
                <w:ilvl w:val="0"/>
                <w:numId w:val="7"/>
              </w:numPr>
              <w:spacing w:line="240" w:lineRule="auto"/>
              <w:ind w:left="318" w:hanging="284"/>
              <w:rPr>
                <w:rFonts w:ascii="Arial" w:hAnsi="Arial" w:cs="Arial"/>
                <w:sz w:val="24"/>
              </w:rPr>
            </w:pPr>
            <w:r w:rsidRPr="00803E17">
              <w:rPr>
                <w:rFonts w:ascii="Arial" w:hAnsi="Arial" w:cs="Arial"/>
                <w:sz w:val="24"/>
              </w:rPr>
              <w:t>Desmopressin re</w:t>
            </w:r>
            <w:r w:rsidR="002F3101" w:rsidRPr="00803E17">
              <w:rPr>
                <w:rFonts w:ascii="Arial" w:hAnsi="Arial" w:cs="Arial"/>
                <w:sz w:val="24"/>
              </w:rPr>
              <w:t>introduced at higher dose of TDS</w:t>
            </w:r>
          </w:p>
          <w:p w:rsidR="002F3101" w:rsidRPr="00803E17" w:rsidRDefault="002F3101" w:rsidP="00103278">
            <w:pPr>
              <w:pStyle w:val="ListParagraph"/>
              <w:numPr>
                <w:ilvl w:val="0"/>
                <w:numId w:val="7"/>
              </w:numPr>
              <w:spacing w:line="240" w:lineRule="auto"/>
              <w:ind w:left="318" w:hanging="284"/>
              <w:rPr>
                <w:rFonts w:ascii="Arial" w:hAnsi="Arial" w:cs="Arial"/>
                <w:sz w:val="24"/>
              </w:rPr>
            </w:pPr>
            <w:r w:rsidRPr="00803E17">
              <w:rPr>
                <w:rFonts w:ascii="Arial" w:hAnsi="Arial" w:cs="Arial"/>
                <w:sz w:val="24"/>
              </w:rPr>
              <w:t>Careful fluid balance with daily blood checks</w:t>
            </w:r>
          </w:p>
          <w:p w:rsidR="002F3101" w:rsidRPr="00803E17" w:rsidRDefault="002F3101" w:rsidP="00103278">
            <w:pPr>
              <w:pStyle w:val="ListParagraph"/>
              <w:numPr>
                <w:ilvl w:val="0"/>
                <w:numId w:val="7"/>
              </w:numPr>
              <w:spacing w:line="240" w:lineRule="auto"/>
              <w:ind w:left="318" w:hanging="284"/>
              <w:rPr>
                <w:rFonts w:ascii="Arial" w:hAnsi="Arial" w:cs="Arial"/>
                <w:sz w:val="24"/>
              </w:rPr>
            </w:pPr>
            <w:r w:rsidRPr="00803E17">
              <w:rPr>
                <w:rFonts w:ascii="Arial" w:hAnsi="Arial" w:cs="Arial"/>
                <w:sz w:val="24"/>
              </w:rPr>
              <w:t>Kept in hospital for monitoring sodium and fluid balance</w:t>
            </w:r>
          </w:p>
          <w:p w:rsidR="002F3101" w:rsidRPr="00803E17" w:rsidRDefault="002F3101" w:rsidP="00103278">
            <w:pPr>
              <w:pStyle w:val="ListParagraph"/>
              <w:numPr>
                <w:ilvl w:val="0"/>
                <w:numId w:val="7"/>
              </w:numPr>
              <w:spacing w:line="240" w:lineRule="auto"/>
              <w:ind w:left="318" w:hanging="284"/>
              <w:rPr>
                <w:rFonts w:ascii="Arial" w:hAnsi="Arial" w:cs="Arial"/>
                <w:sz w:val="24"/>
              </w:rPr>
            </w:pPr>
            <w:r w:rsidRPr="00803E17">
              <w:rPr>
                <w:rFonts w:ascii="Arial" w:hAnsi="Arial" w:cs="Arial"/>
                <w:sz w:val="24"/>
              </w:rPr>
              <w:t>Staff made aware</w:t>
            </w:r>
          </w:p>
          <w:p w:rsidR="002F3101" w:rsidRPr="00803E17" w:rsidRDefault="002F3101" w:rsidP="00C549B2">
            <w:pPr>
              <w:pStyle w:val="ListParagraph"/>
              <w:numPr>
                <w:ilvl w:val="0"/>
                <w:numId w:val="7"/>
              </w:numPr>
              <w:spacing w:after="100" w:line="240" w:lineRule="auto"/>
              <w:ind w:left="318" w:hanging="284"/>
              <w:rPr>
                <w:rFonts w:ascii="Arial" w:hAnsi="Arial" w:cs="Arial"/>
                <w:sz w:val="24"/>
              </w:rPr>
            </w:pPr>
            <w:r w:rsidRPr="00803E17">
              <w:rPr>
                <w:rFonts w:ascii="Arial" w:hAnsi="Arial" w:cs="Arial"/>
                <w:sz w:val="24"/>
              </w:rPr>
              <w:t xml:space="preserve">Incident form to look into process of the lack of prescription </w:t>
            </w:r>
          </w:p>
          <w:p w:rsidR="00EB4699" w:rsidRPr="00803E17" w:rsidRDefault="00EB4699" w:rsidP="00693C54">
            <w:pPr>
              <w:pStyle w:val="NormalWeb"/>
              <w:spacing w:before="0" w:beforeAutospacing="0" w:after="160" w:afterAutospacing="0"/>
              <w:jc w:val="both"/>
              <w:rPr>
                <w:rFonts w:ascii="Arial" w:hAnsi="Arial" w:cs="Arial"/>
                <w:b/>
                <w:szCs w:val="22"/>
              </w:rPr>
            </w:pPr>
            <w:r w:rsidRPr="00803E17">
              <w:rPr>
                <w:rFonts w:ascii="Arial" w:hAnsi="Arial" w:cs="Arial"/>
                <w:b/>
                <w:szCs w:val="22"/>
              </w:rPr>
              <w:t>Additional actions identified and in progress:</w:t>
            </w:r>
          </w:p>
          <w:p w:rsidR="002F3101" w:rsidRPr="00803E17" w:rsidRDefault="002F3101" w:rsidP="00693C54">
            <w:pPr>
              <w:pStyle w:val="NormalWeb"/>
              <w:spacing w:before="0" w:beforeAutospacing="0" w:after="160" w:afterAutospacing="0"/>
              <w:jc w:val="both"/>
              <w:rPr>
                <w:rFonts w:ascii="Arial" w:hAnsi="Arial" w:cs="Arial"/>
                <w:szCs w:val="22"/>
              </w:rPr>
            </w:pPr>
            <w:r w:rsidRPr="00803E17">
              <w:rPr>
                <w:rFonts w:ascii="Arial" w:hAnsi="Arial" w:cs="Arial"/>
                <w:szCs w:val="22"/>
              </w:rPr>
              <w:t>If a medicines reconciliation identif</w:t>
            </w:r>
            <w:r w:rsidR="00EB4699" w:rsidRPr="00803E17">
              <w:rPr>
                <w:rFonts w:ascii="Arial" w:hAnsi="Arial" w:cs="Arial"/>
                <w:szCs w:val="22"/>
              </w:rPr>
              <w:t>ies that medication is missing,</w:t>
            </w:r>
            <w:r w:rsidRPr="00803E17">
              <w:rPr>
                <w:rFonts w:ascii="Arial" w:hAnsi="Arial" w:cs="Arial"/>
                <w:szCs w:val="22"/>
              </w:rPr>
              <w:t xml:space="preserve"> the ward Pharmacists have been made aware that this needs to be communicated verbally </w:t>
            </w:r>
            <w:r w:rsidR="009F1520" w:rsidRPr="00803E17">
              <w:rPr>
                <w:rFonts w:ascii="Arial" w:hAnsi="Arial" w:cs="Arial"/>
                <w:szCs w:val="22"/>
              </w:rPr>
              <w:t>to</w:t>
            </w:r>
            <w:r w:rsidRPr="00803E17">
              <w:rPr>
                <w:rFonts w:ascii="Arial" w:hAnsi="Arial" w:cs="Arial"/>
                <w:szCs w:val="22"/>
              </w:rPr>
              <w:t xml:space="preserve"> the medical team as well </w:t>
            </w:r>
            <w:r w:rsidR="00103278" w:rsidRPr="00803E17">
              <w:rPr>
                <w:rFonts w:ascii="Arial" w:hAnsi="Arial" w:cs="Arial"/>
                <w:szCs w:val="22"/>
              </w:rPr>
              <w:t>as documented</w:t>
            </w:r>
            <w:r w:rsidRPr="00803E17">
              <w:rPr>
                <w:rFonts w:ascii="Arial" w:hAnsi="Arial" w:cs="Arial"/>
                <w:szCs w:val="22"/>
              </w:rPr>
              <w:t xml:space="preserve"> in the Doctors</w:t>
            </w:r>
            <w:r w:rsidR="0084242F" w:rsidRPr="00803E17">
              <w:rPr>
                <w:rFonts w:ascii="Arial" w:hAnsi="Arial" w:cs="Arial"/>
                <w:szCs w:val="22"/>
              </w:rPr>
              <w:t>’</w:t>
            </w:r>
            <w:r w:rsidRPr="00803E17">
              <w:rPr>
                <w:rFonts w:ascii="Arial" w:hAnsi="Arial" w:cs="Arial"/>
                <w:szCs w:val="22"/>
              </w:rPr>
              <w:t xml:space="preserve"> handover book and </w:t>
            </w:r>
            <w:r w:rsidR="009F1520" w:rsidRPr="00803E17">
              <w:rPr>
                <w:rFonts w:ascii="Arial" w:hAnsi="Arial" w:cs="Arial"/>
                <w:szCs w:val="22"/>
              </w:rPr>
              <w:t xml:space="preserve">recorded in </w:t>
            </w:r>
            <w:r w:rsidRPr="00803E17">
              <w:rPr>
                <w:rFonts w:ascii="Arial" w:hAnsi="Arial" w:cs="Arial"/>
                <w:szCs w:val="22"/>
              </w:rPr>
              <w:t xml:space="preserve">Meditech as a pharmacist note and </w:t>
            </w:r>
            <w:r w:rsidR="001163A3" w:rsidRPr="00803E17">
              <w:rPr>
                <w:rFonts w:ascii="Arial" w:hAnsi="Arial" w:cs="Arial"/>
                <w:szCs w:val="22"/>
              </w:rPr>
              <w:t>on</w:t>
            </w:r>
            <w:r w:rsidRPr="00803E17">
              <w:rPr>
                <w:rFonts w:ascii="Arial" w:hAnsi="Arial" w:cs="Arial"/>
                <w:szCs w:val="22"/>
              </w:rPr>
              <w:t xml:space="preserve"> the pharmacy handover sheet.</w:t>
            </w:r>
          </w:p>
          <w:p w:rsidR="00C549B2" w:rsidRPr="00C549B2" w:rsidRDefault="002F3101" w:rsidP="00C549B2">
            <w:pPr>
              <w:pStyle w:val="NormalWeb"/>
              <w:spacing w:before="0" w:beforeAutospacing="0" w:after="160" w:afterAutospacing="0"/>
              <w:jc w:val="both"/>
              <w:rPr>
                <w:rFonts w:ascii="Arial" w:hAnsi="Arial" w:cs="Arial"/>
                <w:sz w:val="12"/>
                <w:szCs w:val="12"/>
              </w:rPr>
            </w:pPr>
            <w:r w:rsidRPr="00803E17">
              <w:rPr>
                <w:rFonts w:ascii="Arial" w:hAnsi="Arial" w:cs="Arial"/>
                <w:szCs w:val="22"/>
              </w:rPr>
              <w:t>The pharmacy team are updating</w:t>
            </w:r>
            <w:r w:rsidR="00EB4699" w:rsidRPr="00803E17">
              <w:rPr>
                <w:rFonts w:ascii="Arial" w:hAnsi="Arial" w:cs="Arial"/>
                <w:szCs w:val="22"/>
              </w:rPr>
              <w:t xml:space="preserve"> their critical medicines list.</w:t>
            </w:r>
            <w:r w:rsidRPr="00803E17">
              <w:rPr>
                <w:rFonts w:ascii="Arial" w:hAnsi="Arial" w:cs="Arial"/>
                <w:szCs w:val="22"/>
              </w:rPr>
              <w:t xml:space="preserve"> </w:t>
            </w:r>
            <w:r w:rsidR="00EB4699" w:rsidRPr="00803E17">
              <w:rPr>
                <w:rFonts w:ascii="Arial" w:hAnsi="Arial" w:cs="Arial"/>
                <w:szCs w:val="22"/>
              </w:rPr>
              <w:t>T</w:t>
            </w:r>
            <w:r w:rsidRPr="00803E17">
              <w:rPr>
                <w:rFonts w:ascii="Arial" w:hAnsi="Arial" w:cs="Arial"/>
                <w:szCs w:val="22"/>
              </w:rPr>
              <w:t xml:space="preserve">his will highlight those medications that are critical for patients and therefore should not be missed. It will enable the ward pharmacy team to ensure that any missing critical medicines will be actioned as a matter of urgency.  The ward Pharmacists are also aware that if the doctor is unavailable to prescribe critical medicines then the ward pharmacist should escalate to the ward non-medical prescriber. In exceptional circumstances the trust enabling policy allows </w:t>
            </w:r>
            <w:r w:rsidR="0084242F" w:rsidRPr="00803E17">
              <w:rPr>
                <w:rFonts w:ascii="Arial" w:hAnsi="Arial" w:cs="Arial"/>
                <w:szCs w:val="22"/>
              </w:rPr>
              <w:t xml:space="preserve">band </w:t>
            </w:r>
            <w:r w:rsidRPr="00803E17">
              <w:rPr>
                <w:rFonts w:ascii="Arial" w:hAnsi="Arial" w:cs="Arial"/>
                <w:szCs w:val="22"/>
              </w:rPr>
              <w:t xml:space="preserve">8a non-prescribers to add regular medication to the MAR as long as they are working within their competency and assured that it is clinically appropriate. </w:t>
            </w:r>
          </w:p>
          <w:p w:rsidR="002F3101" w:rsidRDefault="002F3101" w:rsidP="00693C54">
            <w:pPr>
              <w:pStyle w:val="NormalWeb"/>
              <w:spacing w:before="0" w:beforeAutospacing="0" w:after="160" w:afterAutospacing="0"/>
              <w:jc w:val="both"/>
              <w:rPr>
                <w:rFonts w:ascii="Arial" w:hAnsi="Arial" w:cs="Arial"/>
                <w:szCs w:val="22"/>
              </w:rPr>
            </w:pPr>
            <w:r w:rsidRPr="00803E17">
              <w:rPr>
                <w:rFonts w:ascii="Arial" w:hAnsi="Arial" w:cs="Arial"/>
                <w:szCs w:val="22"/>
              </w:rPr>
              <w:t>Pharmacy EPR team to review allowed inputs into home meds to reduce likelihood of transmitting medicines that are not complete and therefore not visible in MAR to prevent manual inputs.</w:t>
            </w:r>
          </w:p>
          <w:p w:rsidR="00C549B2" w:rsidRDefault="00C549B2" w:rsidP="00693C54">
            <w:pPr>
              <w:pStyle w:val="NormalWeb"/>
              <w:spacing w:before="0" w:beforeAutospacing="0" w:after="160" w:afterAutospacing="0"/>
              <w:jc w:val="both"/>
              <w:rPr>
                <w:rFonts w:ascii="Arial" w:hAnsi="Arial" w:cs="Arial"/>
                <w:szCs w:val="22"/>
              </w:rPr>
            </w:pPr>
          </w:p>
          <w:p w:rsidR="00C549B2" w:rsidRPr="00C549B2" w:rsidRDefault="00C549B2" w:rsidP="00C549B2">
            <w:pPr>
              <w:pStyle w:val="NormalWeb"/>
              <w:spacing w:before="0" w:beforeAutospacing="0" w:after="0" w:afterAutospacing="0"/>
              <w:jc w:val="both"/>
              <w:rPr>
                <w:rFonts w:ascii="Arial" w:hAnsi="Arial" w:cs="Arial"/>
                <w:sz w:val="12"/>
                <w:szCs w:val="12"/>
              </w:rPr>
            </w:pPr>
          </w:p>
          <w:p w:rsidR="002F3101" w:rsidRPr="00803E17" w:rsidRDefault="002F3101" w:rsidP="00693C54">
            <w:pPr>
              <w:pStyle w:val="NormalWeb"/>
              <w:spacing w:before="0" w:beforeAutospacing="0" w:after="160" w:afterAutospacing="0"/>
              <w:jc w:val="both"/>
              <w:rPr>
                <w:rFonts w:ascii="Arial" w:hAnsi="Arial" w:cs="Arial"/>
                <w:szCs w:val="22"/>
              </w:rPr>
            </w:pPr>
            <w:r w:rsidRPr="00803E17">
              <w:rPr>
                <w:rFonts w:ascii="Arial" w:hAnsi="Arial" w:cs="Arial"/>
                <w:szCs w:val="22"/>
              </w:rPr>
              <w:t>Pha</w:t>
            </w:r>
            <w:r w:rsidR="0084242F" w:rsidRPr="00803E17">
              <w:rPr>
                <w:rFonts w:ascii="Arial" w:hAnsi="Arial" w:cs="Arial"/>
                <w:szCs w:val="22"/>
              </w:rPr>
              <w:t>rmacy EPR team to investigate the</w:t>
            </w:r>
            <w:r w:rsidRPr="00803E17">
              <w:rPr>
                <w:rFonts w:ascii="Arial" w:hAnsi="Arial" w:cs="Arial"/>
                <w:szCs w:val="22"/>
              </w:rPr>
              <w:t xml:space="preserve"> possibility of </w:t>
            </w:r>
            <w:r w:rsidR="0084242F" w:rsidRPr="00803E17">
              <w:rPr>
                <w:rFonts w:ascii="Arial" w:hAnsi="Arial" w:cs="Arial"/>
                <w:szCs w:val="22"/>
              </w:rPr>
              <w:t xml:space="preserve">developing </w:t>
            </w:r>
            <w:r w:rsidRPr="00803E17">
              <w:rPr>
                <w:rFonts w:ascii="Arial" w:hAnsi="Arial" w:cs="Arial"/>
                <w:szCs w:val="22"/>
              </w:rPr>
              <w:t xml:space="preserve">an alert for prescribing staff </w:t>
            </w:r>
            <w:r w:rsidR="0084242F" w:rsidRPr="00803E17">
              <w:rPr>
                <w:rFonts w:ascii="Arial" w:hAnsi="Arial" w:cs="Arial"/>
                <w:szCs w:val="22"/>
              </w:rPr>
              <w:t xml:space="preserve">to the fact </w:t>
            </w:r>
            <w:r w:rsidRPr="00803E17">
              <w:rPr>
                <w:rFonts w:ascii="Arial" w:hAnsi="Arial" w:cs="Arial"/>
                <w:szCs w:val="22"/>
              </w:rPr>
              <w:t>that an item would not be viewable in the medicine administration record.</w:t>
            </w:r>
          </w:p>
          <w:p w:rsidR="002F3101" w:rsidRPr="00803E17" w:rsidRDefault="002F3101" w:rsidP="00693C54">
            <w:pPr>
              <w:pStyle w:val="NormalWeb"/>
              <w:spacing w:before="0" w:beforeAutospacing="0" w:after="160" w:afterAutospacing="0"/>
              <w:jc w:val="both"/>
              <w:rPr>
                <w:rFonts w:ascii="Arial" w:hAnsi="Arial" w:cs="Arial"/>
                <w:szCs w:val="22"/>
              </w:rPr>
            </w:pPr>
            <w:r w:rsidRPr="00803E17">
              <w:rPr>
                <w:rFonts w:ascii="Arial" w:hAnsi="Arial" w:cs="Arial"/>
                <w:szCs w:val="22"/>
              </w:rPr>
              <w:t>Review MAR after prescribing medic</w:t>
            </w:r>
            <w:r w:rsidR="00103278" w:rsidRPr="00803E17">
              <w:rPr>
                <w:rFonts w:ascii="Arial" w:hAnsi="Arial" w:cs="Arial"/>
                <w:szCs w:val="22"/>
              </w:rPr>
              <w:t>ines to ensure this is viewable.</w:t>
            </w:r>
          </w:p>
          <w:p w:rsidR="002F3101" w:rsidRPr="00803E17" w:rsidRDefault="002F3101" w:rsidP="00693C54">
            <w:pPr>
              <w:spacing w:after="160" w:line="240" w:lineRule="auto"/>
              <w:jc w:val="both"/>
              <w:rPr>
                <w:sz w:val="24"/>
              </w:rPr>
            </w:pPr>
            <w:r w:rsidRPr="00803E17">
              <w:rPr>
                <w:rFonts w:ascii="Arial" w:hAnsi="Arial" w:cs="Arial"/>
                <w:sz w:val="24"/>
              </w:rPr>
              <w:t>Ensure that any medicines in medicines locker are highlighted to medical staff and pharmacy staff.</w:t>
            </w:r>
          </w:p>
          <w:p w:rsidR="002F3101" w:rsidRPr="00803E17" w:rsidRDefault="0084242F" w:rsidP="00693C54">
            <w:pPr>
              <w:spacing w:after="160" w:line="240" w:lineRule="auto"/>
              <w:jc w:val="both"/>
              <w:rPr>
                <w:rFonts w:ascii="Arial" w:hAnsi="Arial" w:cs="Arial"/>
                <w:bCs/>
                <w:sz w:val="24"/>
                <w:lang w:val="en-US" w:eastAsia="en-GB"/>
              </w:rPr>
            </w:pPr>
            <w:r w:rsidRPr="00803E17">
              <w:rPr>
                <w:rFonts w:ascii="Arial" w:hAnsi="Arial" w:cs="Arial"/>
                <w:bCs/>
                <w:sz w:val="24"/>
                <w:lang w:val="en-US" w:eastAsia="en-GB"/>
              </w:rPr>
              <w:t>Pharmacy is</w:t>
            </w:r>
            <w:r w:rsidR="002F3101" w:rsidRPr="00803E17">
              <w:rPr>
                <w:rFonts w:ascii="Arial" w:hAnsi="Arial" w:cs="Arial"/>
                <w:bCs/>
                <w:sz w:val="24"/>
                <w:lang w:val="en-US" w:eastAsia="en-GB"/>
              </w:rPr>
              <w:t xml:space="preserve"> undertaking a full RCA on this case which will be completed no later than 17/08/2020</w:t>
            </w:r>
            <w:r w:rsidR="00192640" w:rsidRPr="00803E17">
              <w:rPr>
                <w:rFonts w:ascii="Arial" w:hAnsi="Arial" w:cs="Arial"/>
                <w:bCs/>
                <w:sz w:val="24"/>
                <w:lang w:val="en-US" w:eastAsia="en-GB"/>
              </w:rPr>
              <w:t>.</w:t>
            </w:r>
          </w:p>
        </w:tc>
      </w:tr>
      <w:tr w:rsidR="00693C54" w:rsidRPr="00693C54" w:rsidTr="00DA1D5E">
        <w:trPr>
          <w:trHeight w:hRule="exact" w:val="730"/>
        </w:trPr>
        <w:tc>
          <w:tcPr>
            <w:tcW w:w="2553" w:type="dxa"/>
            <w:tcBorders>
              <w:top w:val="single" w:sz="4" w:space="0" w:color="808080" w:themeColor="background1" w:themeShade="80"/>
              <w:left w:val="single" w:sz="8" w:space="0" w:color="808080"/>
              <w:bottom w:val="single" w:sz="8" w:space="0" w:color="808080"/>
              <w:right w:val="single" w:sz="8" w:space="0" w:color="808080"/>
            </w:tcBorders>
            <w:tcMar>
              <w:top w:w="0" w:type="dxa"/>
              <w:left w:w="108" w:type="dxa"/>
              <w:bottom w:w="0" w:type="dxa"/>
              <w:right w:w="108" w:type="dxa"/>
            </w:tcMar>
            <w:vAlign w:val="center"/>
          </w:tcPr>
          <w:p w:rsidR="00693C54" w:rsidRPr="00803E17" w:rsidRDefault="00803E17" w:rsidP="00803E17">
            <w:pPr>
              <w:spacing w:before="60" w:after="60"/>
              <w:rPr>
                <w:rFonts w:ascii="Arial" w:hAnsi="Arial" w:cs="Arial"/>
                <w:b/>
                <w:bCs/>
                <w:sz w:val="24"/>
                <w:lang w:val="en-US" w:eastAsia="en-GB"/>
              </w:rPr>
            </w:pPr>
            <w:r>
              <w:rPr>
                <w:rFonts w:ascii="Arial" w:hAnsi="Arial" w:cs="Arial"/>
                <w:b/>
                <w:bCs/>
                <w:sz w:val="24"/>
                <w:lang w:val="en-US" w:eastAsia="en-GB"/>
              </w:rPr>
              <w:lastRenderedPageBreak/>
              <w:t>Expected date of compliance</w:t>
            </w:r>
          </w:p>
        </w:tc>
        <w:tc>
          <w:tcPr>
            <w:tcW w:w="7512" w:type="dxa"/>
            <w:gridSpan w:val="5"/>
            <w:tcBorders>
              <w:top w:val="single" w:sz="4" w:space="0" w:color="808080" w:themeColor="background1" w:themeShade="80"/>
              <w:left w:val="nil"/>
              <w:bottom w:val="single" w:sz="8" w:space="0" w:color="808080"/>
              <w:right w:val="single" w:sz="8" w:space="0" w:color="808080"/>
            </w:tcBorders>
            <w:tcMar>
              <w:top w:w="0" w:type="dxa"/>
              <w:left w:w="108" w:type="dxa"/>
              <w:bottom w:w="0" w:type="dxa"/>
              <w:right w:w="108" w:type="dxa"/>
            </w:tcMar>
            <w:vAlign w:val="center"/>
          </w:tcPr>
          <w:p w:rsidR="00693C54" w:rsidRPr="00803E17" w:rsidRDefault="00F2489E" w:rsidP="005952F8">
            <w:pPr>
              <w:spacing w:before="60" w:after="60"/>
              <w:rPr>
                <w:rFonts w:ascii="Arial" w:hAnsi="Arial" w:cs="Arial"/>
                <w:sz w:val="24"/>
                <w:lang w:val="en-US" w:eastAsia="en-GB"/>
              </w:rPr>
            </w:pPr>
            <w:r w:rsidRPr="00803E17">
              <w:rPr>
                <w:rFonts w:ascii="Arial" w:hAnsi="Arial" w:cs="Arial"/>
                <w:sz w:val="24"/>
                <w:lang w:val="en-US" w:eastAsia="en-GB"/>
              </w:rPr>
              <w:t>31/8/20</w:t>
            </w:r>
          </w:p>
        </w:tc>
      </w:tr>
      <w:tr w:rsidR="002F3101" w:rsidTr="00DA1D5E">
        <w:trPr>
          <w:trHeight w:hRule="exact" w:val="1563"/>
        </w:trPr>
        <w:tc>
          <w:tcPr>
            <w:tcW w:w="2553" w:type="dxa"/>
            <w:tcBorders>
              <w:top w:val="single" w:sz="4" w:space="0" w:color="808080" w:themeColor="background1" w:themeShade="80"/>
              <w:left w:val="single" w:sz="8" w:space="0" w:color="808080"/>
              <w:bottom w:val="single" w:sz="8" w:space="0" w:color="808080"/>
              <w:right w:val="single" w:sz="8" w:space="0" w:color="808080"/>
            </w:tcBorders>
            <w:tcMar>
              <w:top w:w="0" w:type="dxa"/>
              <w:left w:w="108" w:type="dxa"/>
              <w:bottom w:w="0" w:type="dxa"/>
              <w:right w:w="108" w:type="dxa"/>
            </w:tcMar>
            <w:vAlign w:val="center"/>
            <w:hideMark/>
          </w:tcPr>
          <w:p w:rsidR="002F3101" w:rsidRPr="00803E17" w:rsidRDefault="002F3101" w:rsidP="005952F8">
            <w:pPr>
              <w:spacing w:before="60" w:after="60"/>
              <w:rPr>
                <w:rFonts w:ascii="Arial" w:hAnsi="Arial" w:cs="Arial"/>
                <w:b/>
                <w:bCs/>
                <w:sz w:val="24"/>
                <w:lang w:val="en-US" w:eastAsia="en-GB"/>
              </w:rPr>
            </w:pPr>
            <w:r w:rsidRPr="00803E17">
              <w:rPr>
                <w:rFonts w:ascii="Arial" w:hAnsi="Arial" w:cs="Arial"/>
                <w:b/>
                <w:bCs/>
                <w:sz w:val="24"/>
                <w:lang w:val="en-US" w:eastAsia="en-GB"/>
              </w:rPr>
              <w:t>Escalation route</w:t>
            </w:r>
          </w:p>
        </w:tc>
        <w:tc>
          <w:tcPr>
            <w:tcW w:w="7512" w:type="dxa"/>
            <w:gridSpan w:val="5"/>
            <w:tcBorders>
              <w:top w:val="single" w:sz="4" w:space="0" w:color="808080" w:themeColor="background1" w:themeShade="80"/>
              <w:left w:val="nil"/>
              <w:bottom w:val="single" w:sz="8" w:space="0" w:color="808080"/>
              <w:right w:val="single" w:sz="8" w:space="0" w:color="808080"/>
            </w:tcBorders>
            <w:tcMar>
              <w:top w:w="0" w:type="dxa"/>
              <w:left w:w="108" w:type="dxa"/>
              <w:bottom w:w="0" w:type="dxa"/>
              <w:right w:w="108" w:type="dxa"/>
            </w:tcMar>
            <w:vAlign w:val="center"/>
          </w:tcPr>
          <w:p w:rsidR="002F3101" w:rsidRPr="00803E17" w:rsidRDefault="002F3101" w:rsidP="005952F8">
            <w:pPr>
              <w:spacing w:before="60" w:after="60"/>
              <w:rPr>
                <w:rFonts w:ascii="Arial" w:hAnsi="Arial" w:cs="Arial"/>
                <w:color w:val="000000"/>
                <w:sz w:val="24"/>
                <w:lang w:val="en-US" w:eastAsia="en-GB"/>
              </w:rPr>
            </w:pPr>
            <w:r w:rsidRPr="00803E17">
              <w:rPr>
                <w:rFonts w:ascii="Arial" w:hAnsi="Arial" w:cs="Arial"/>
                <w:color w:val="000000"/>
                <w:sz w:val="24"/>
                <w:lang w:val="en-US" w:eastAsia="en-GB"/>
              </w:rPr>
              <w:t xml:space="preserve">Immediate escalation once aware of the incident, as per Incident management Policy </w:t>
            </w:r>
          </w:p>
          <w:p w:rsidR="002F3101" w:rsidRPr="00803E17" w:rsidRDefault="002F3101" w:rsidP="005952F8">
            <w:pPr>
              <w:spacing w:before="60" w:after="60"/>
              <w:rPr>
                <w:rFonts w:ascii="Arial" w:hAnsi="Arial" w:cs="Arial"/>
                <w:color w:val="000000"/>
                <w:sz w:val="24"/>
                <w:highlight w:val="yellow"/>
                <w:lang w:val="en-US" w:eastAsia="en-GB"/>
              </w:rPr>
            </w:pPr>
            <w:r w:rsidRPr="00803E17">
              <w:rPr>
                <w:rFonts w:ascii="Arial" w:hAnsi="Arial" w:cs="Arial"/>
                <w:color w:val="000000"/>
                <w:sz w:val="24"/>
                <w:lang w:val="en-US" w:eastAsia="en-GB"/>
              </w:rPr>
              <w:t xml:space="preserve">Monthly Directorate Quality and Safety Group, LIRG, Integrated Governance Committee, Quality Committee, </w:t>
            </w:r>
            <w:r w:rsidR="008A3D9C" w:rsidRPr="00803E17">
              <w:rPr>
                <w:rFonts w:ascii="Arial" w:hAnsi="Arial" w:cs="Arial"/>
                <w:sz w:val="24"/>
                <w:szCs w:val="20"/>
                <w:lang w:val="en-US" w:eastAsia="en-GB"/>
              </w:rPr>
              <w:t>Board of Directors</w:t>
            </w:r>
          </w:p>
        </w:tc>
      </w:tr>
      <w:tr w:rsidR="002F3101" w:rsidTr="00DA1D5E">
        <w:trPr>
          <w:trHeight w:hRule="exact" w:val="425"/>
        </w:trPr>
        <w:tc>
          <w:tcPr>
            <w:tcW w:w="2553" w:type="dxa"/>
            <w:tcBorders>
              <w:top w:val="nil"/>
              <w:left w:val="single" w:sz="8" w:space="0" w:color="808080"/>
              <w:bottom w:val="single" w:sz="8" w:space="0" w:color="808080"/>
              <w:right w:val="single" w:sz="8" w:space="0" w:color="808080"/>
            </w:tcBorders>
            <w:tcMar>
              <w:top w:w="0" w:type="dxa"/>
              <w:left w:w="108" w:type="dxa"/>
              <w:bottom w:w="0" w:type="dxa"/>
              <w:right w:w="108" w:type="dxa"/>
            </w:tcMar>
            <w:vAlign w:val="center"/>
            <w:hideMark/>
          </w:tcPr>
          <w:p w:rsidR="002F3101" w:rsidRPr="00803E17" w:rsidRDefault="002F3101" w:rsidP="005952F8">
            <w:pPr>
              <w:spacing w:before="60" w:after="60"/>
              <w:rPr>
                <w:rFonts w:ascii="Arial" w:hAnsi="Arial" w:cs="Arial"/>
                <w:b/>
                <w:bCs/>
                <w:sz w:val="24"/>
                <w:lang w:val="en-US" w:eastAsia="en-GB"/>
              </w:rPr>
            </w:pPr>
            <w:r w:rsidRPr="00803E17">
              <w:rPr>
                <w:rFonts w:ascii="Arial" w:hAnsi="Arial" w:cs="Arial"/>
                <w:b/>
                <w:bCs/>
                <w:sz w:val="24"/>
                <w:lang w:val="en-US" w:eastAsia="en-GB"/>
              </w:rPr>
              <w:t>Executive Lead</w:t>
            </w:r>
          </w:p>
        </w:tc>
        <w:tc>
          <w:tcPr>
            <w:tcW w:w="7512" w:type="dxa"/>
            <w:gridSpan w:val="5"/>
            <w:tcBorders>
              <w:top w:val="nil"/>
              <w:left w:val="nil"/>
              <w:bottom w:val="single" w:sz="8" w:space="0" w:color="808080"/>
              <w:right w:val="single" w:sz="8" w:space="0" w:color="808080"/>
            </w:tcBorders>
            <w:tcMar>
              <w:top w:w="0" w:type="dxa"/>
              <w:left w:w="108" w:type="dxa"/>
              <w:bottom w:w="0" w:type="dxa"/>
              <w:right w:w="108" w:type="dxa"/>
            </w:tcMar>
            <w:vAlign w:val="center"/>
            <w:hideMark/>
          </w:tcPr>
          <w:p w:rsidR="002F3101" w:rsidRPr="00803E17" w:rsidRDefault="002F3101" w:rsidP="005952F8">
            <w:pPr>
              <w:spacing w:before="60" w:after="60"/>
              <w:rPr>
                <w:rFonts w:ascii="Arial" w:hAnsi="Arial" w:cs="Arial"/>
                <w:color w:val="000000"/>
                <w:sz w:val="24"/>
                <w:highlight w:val="yellow"/>
                <w:lang w:val="en-US" w:eastAsia="en-GB"/>
              </w:rPr>
            </w:pPr>
            <w:r w:rsidRPr="00803E17">
              <w:rPr>
                <w:rFonts w:ascii="Arial" w:hAnsi="Arial" w:cs="Arial"/>
                <w:sz w:val="24"/>
                <w:lang w:val="en-US" w:eastAsia="en-GB"/>
              </w:rPr>
              <w:t>Sheila Lloyd, Director of Nursing and Quality</w:t>
            </w:r>
          </w:p>
        </w:tc>
      </w:tr>
    </w:tbl>
    <w:p w:rsidR="00AE798A" w:rsidRDefault="00AE798A" w:rsidP="001F1BE0">
      <w:pPr>
        <w:autoSpaceDE w:val="0"/>
        <w:autoSpaceDN w:val="0"/>
        <w:adjustRightInd w:val="0"/>
        <w:spacing w:after="0" w:line="240" w:lineRule="auto"/>
        <w:ind w:left="-426"/>
        <w:jc w:val="both"/>
        <w:rPr>
          <w:rFonts w:ascii="Arial" w:eastAsia="Calibri" w:hAnsi="Arial" w:cs="Arial"/>
          <w:b/>
          <w:bCs/>
          <w:sz w:val="32"/>
          <w:szCs w:val="24"/>
          <w:highlight w:val="yellow"/>
        </w:rPr>
      </w:pPr>
    </w:p>
    <w:tbl>
      <w:tblPr>
        <w:tblW w:w="9782" w:type="dxa"/>
        <w:tblInd w:w="-318" w:type="dxa"/>
        <w:tblLayout w:type="fixed"/>
        <w:tblCellMar>
          <w:left w:w="0" w:type="dxa"/>
          <w:right w:w="0" w:type="dxa"/>
        </w:tblCellMar>
        <w:tblLook w:val="04A0" w:firstRow="1" w:lastRow="0" w:firstColumn="1" w:lastColumn="0" w:noHBand="0" w:noVBand="1"/>
      </w:tblPr>
      <w:tblGrid>
        <w:gridCol w:w="3240"/>
        <w:gridCol w:w="1297"/>
        <w:gridCol w:w="994"/>
        <w:gridCol w:w="991"/>
        <w:gridCol w:w="898"/>
        <w:gridCol w:w="2362"/>
      </w:tblGrid>
      <w:tr w:rsidR="00123998" w:rsidRPr="001C51AB" w:rsidTr="00123998">
        <w:trPr>
          <w:trHeight w:hRule="exact" w:val="457"/>
        </w:trPr>
        <w:tc>
          <w:tcPr>
            <w:tcW w:w="4537" w:type="dxa"/>
            <w:gridSpan w:val="2"/>
            <w:vMerge w:val="restart"/>
            <w:tcBorders>
              <w:top w:val="single" w:sz="8" w:space="0" w:color="808080"/>
              <w:left w:val="single" w:sz="8" w:space="0" w:color="808080"/>
              <w:bottom w:val="single" w:sz="8" w:space="0" w:color="808080"/>
              <w:right w:val="single" w:sz="8" w:space="0" w:color="808080"/>
            </w:tcBorders>
            <w:shd w:val="clear" w:color="auto" w:fill="4F81BD"/>
            <w:tcMar>
              <w:top w:w="0" w:type="dxa"/>
              <w:left w:w="108" w:type="dxa"/>
              <w:bottom w:w="0" w:type="dxa"/>
              <w:right w:w="108" w:type="dxa"/>
            </w:tcMar>
            <w:vAlign w:val="center"/>
            <w:hideMark/>
          </w:tcPr>
          <w:p w:rsidR="00123998" w:rsidRPr="001C51AB" w:rsidRDefault="00123998" w:rsidP="00123998">
            <w:pPr>
              <w:spacing w:after="0" w:line="240" w:lineRule="auto"/>
              <w:rPr>
                <w:rFonts w:ascii="Arial" w:hAnsi="Arial" w:cs="Arial"/>
                <w:b/>
                <w:bCs/>
                <w:color w:val="FFFFFF"/>
                <w:sz w:val="24"/>
                <w:szCs w:val="24"/>
                <w:lang w:val="en-US"/>
              </w:rPr>
            </w:pPr>
            <w:r w:rsidRPr="001C51AB">
              <w:rPr>
                <w:rFonts w:ascii="Arial" w:hAnsi="Arial" w:cs="Arial"/>
                <w:b/>
                <w:bCs/>
                <w:color w:val="FFFFFF"/>
                <w:sz w:val="24"/>
                <w:szCs w:val="24"/>
                <w:lang w:val="en-US"/>
              </w:rPr>
              <w:t>IRMER - number of reportable incidents</w:t>
            </w:r>
          </w:p>
        </w:tc>
        <w:tc>
          <w:tcPr>
            <w:tcW w:w="994" w:type="dxa"/>
            <w:tcBorders>
              <w:top w:val="single" w:sz="8" w:space="0" w:color="808080"/>
              <w:left w:val="nil"/>
              <w:bottom w:val="single" w:sz="8" w:space="0" w:color="808080"/>
              <w:right w:val="single" w:sz="8" w:space="0" w:color="808080"/>
            </w:tcBorders>
            <w:vAlign w:val="center"/>
            <w:hideMark/>
          </w:tcPr>
          <w:p w:rsidR="00123998" w:rsidRPr="001C51AB" w:rsidRDefault="00123998" w:rsidP="00123998">
            <w:pPr>
              <w:spacing w:after="0" w:line="240" w:lineRule="auto"/>
              <w:jc w:val="center"/>
              <w:rPr>
                <w:rFonts w:ascii="Arial" w:hAnsi="Arial" w:cs="Arial"/>
                <w:b/>
                <w:bCs/>
                <w:sz w:val="24"/>
                <w:szCs w:val="24"/>
                <w:lang w:val="en-US"/>
              </w:rPr>
            </w:pPr>
            <w:r w:rsidRPr="001C51AB">
              <w:rPr>
                <w:rFonts w:ascii="Arial" w:hAnsi="Arial" w:cs="Arial"/>
                <w:b/>
                <w:bCs/>
                <w:sz w:val="24"/>
                <w:szCs w:val="24"/>
                <w:lang w:val="en-US"/>
              </w:rPr>
              <w:t>Target</w:t>
            </w:r>
          </w:p>
        </w:tc>
        <w:tc>
          <w:tcPr>
            <w:tcW w:w="991" w:type="dxa"/>
            <w:tcBorders>
              <w:top w:val="single" w:sz="8" w:space="0" w:color="808080"/>
              <w:left w:val="nil"/>
              <w:bottom w:val="single" w:sz="8" w:space="0" w:color="808080"/>
              <w:right w:val="single" w:sz="8" w:space="0" w:color="808080"/>
            </w:tcBorders>
            <w:vAlign w:val="center"/>
            <w:hideMark/>
          </w:tcPr>
          <w:p w:rsidR="00123998" w:rsidRPr="001C51AB" w:rsidRDefault="00123998" w:rsidP="00123998">
            <w:pPr>
              <w:spacing w:after="0" w:line="240" w:lineRule="auto"/>
              <w:jc w:val="center"/>
              <w:rPr>
                <w:rFonts w:ascii="Arial" w:hAnsi="Arial" w:cs="Arial"/>
                <w:b/>
                <w:bCs/>
                <w:sz w:val="24"/>
                <w:szCs w:val="24"/>
                <w:lang w:val="en-US"/>
              </w:rPr>
            </w:pPr>
            <w:r w:rsidRPr="001C51AB">
              <w:rPr>
                <w:rFonts w:ascii="Arial" w:hAnsi="Arial" w:cs="Arial"/>
                <w:b/>
                <w:bCs/>
                <w:sz w:val="24"/>
                <w:szCs w:val="24"/>
                <w:lang w:val="en-US"/>
              </w:rPr>
              <w:t>May 20</w:t>
            </w:r>
          </w:p>
        </w:tc>
        <w:tc>
          <w:tcPr>
            <w:tcW w:w="898" w:type="dxa"/>
            <w:tcBorders>
              <w:top w:val="single" w:sz="8" w:space="0" w:color="808080"/>
              <w:left w:val="nil"/>
              <w:bottom w:val="single" w:sz="8" w:space="0" w:color="808080"/>
              <w:right w:val="single" w:sz="8" w:space="0" w:color="808080"/>
            </w:tcBorders>
            <w:vAlign w:val="center"/>
            <w:hideMark/>
          </w:tcPr>
          <w:p w:rsidR="00123998" w:rsidRPr="001C51AB" w:rsidRDefault="00123998" w:rsidP="00123998">
            <w:pPr>
              <w:spacing w:after="0" w:line="240" w:lineRule="auto"/>
              <w:jc w:val="center"/>
              <w:rPr>
                <w:rFonts w:ascii="Arial" w:hAnsi="Arial" w:cs="Arial"/>
                <w:b/>
                <w:bCs/>
                <w:sz w:val="24"/>
                <w:szCs w:val="24"/>
                <w:lang w:val="en-US"/>
              </w:rPr>
            </w:pPr>
            <w:r w:rsidRPr="001C51AB">
              <w:rPr>
                <w:rFonts w:ascii="Arial" w:hAnsi="Arial" w:cs="Arial"/>
                <w:b/>
                <w:bCs/>
                <w:sz w:val="24"/>
                <w:szCs w:val="24"/>
                <w:lang w:val="en-US"/>
              </w:rPr>
              <w:t>YTD</w:t>
            </w:r>
          </w:p>
        </w:tc>
        <w:tc>
          <w:tcPr>
            <w:tcW w:w="2362" w:type="dxa"/>
            <w:tcBorders>
              <w:top w:val="single" w:sz="8" w:space="0" w:color="808080"/>
              <w:left w:val="nil"/>
              <w:bottom w:val="single" w:sz="8" w:space="0" w:color="808080"/>
              <w:right w:val="single" w:sz="8" w:space="0" w:color="808080"/>
            </w:tcBorders>
            <w:vAlign w:val="center"/>
            <w:hideMark/>
          </w:tcPr>
          <w:p w:rsidR="00123998" w:rsidRPr="001C51AB" w:rsidRDefault="00123998" w:rsidP="00123998">
            <w:pPr>
              <w:spacing w:after="0" w:line="240" w:lineRule="auto"/>
              <w:jc w:val="center"/>
              <w:rPr>
                <w:rFonts w:ascii="Arial" w:hAnsi="Arial" w:cs="Arial"/>
                <w:b/>
                <w:bCs/>
                <w:sz w:val="24"/>
                <w:szCs w:val="24"/>
                <w:lang w:val="en-US"/>
              </w:rPr>
            </w:pPr>
            <w:r w:rsidRPr="001C51AB">
              <w:rPr>
                <w:rFonts w:ascii="Arial" w:hAnsi="Arial" w:cs="Arial"/>
                <w:b/>
                <w:bCs/>
                <w:sz w:val="24"/>
                <w:szCs w:val="24"/>
                <w:lang w:val="en-US"/>
              </w:rPr>
              <w:t>12 month trend</w:t>
            </w:r>
          </w:p>
        </w:tc>
      </w:tr>
      <w:tr w:rsidR="00123998" w:rsidRPr="001C51AB" w:rsidTr="00123998">
        <w:trPr>
          <w:trHeight w:hRule="exact" w:val="425"/>
        </w:trPr>
        <w:tc>
          <w:tcPr>
            <w:tcW w:w="4537" w:type="dxa"/>
            <w:gridSpan w:val="2"/>
            <w:vMerge/>
            <w:tcBorders>
              <w:top w:val="single" w:sz="8" w:space="0" w:color="808080"/>
              <w:left w:val="single" w:sz="8" w:space="0" w:color="808080"/>
              <w:bottom w:val="single" w:sz="8" w:space="0" w:color="808080"/>
              <w:right w:val="single" w:sz="8" w:space="0" w:color="808080"/>
            </w:tcBorders>
            <w:vAlign w:val="center"/>
            <w:hideMark/>
          </w:tcPr>
          <w:p w:rsidR="00123998" w:rsidRPr="001C51AB" w:rsidRDefault="00123998" w:rsidP="00123998">
            <w:pPr>
              <w:rPr>
                <w:rFonts w:ascii="Arial" w:hAnsi="Arial" w:cs="Arial"/>
                <w:b/>
                <w:bCs/>
                <w:color w:val="FFFFFF"/>
                <w:sz w:val="24"/>
                <w:szCs w:val="24"/>
                <w:lang w:val="en-US"/>
              </w:rPr>
            </w:pPr>
          </w:p>
        </w:tc>
        <w:tc>
          <w:tcPr>
            <w:tcW w:w="994" w:type="dxa"/>
            <w:tcBorders>
              <w:top w:val="nil"/>
              <w:left w:val="nil"/>
              <w:bottom w:val="single" w:sz="8" w:space="0" w:color="808080"/>
              <w:right w:val="single" w:sz="8" w:space="0" w:color="808080"/>
            </w:tcBorders>
            <w:shd w:val="clear" w:color="auto" w:fill="FFFFFF"/>
            <w:vAlign w:val="center"/>
          </w:tcPr>
          <w:p w:rsidR="00123998" w:rsidRPr="001C51AB" w:rsidRDefault="00123998" w:rsidP="00123998">
            <w:pPr>
              <w:spacing w:after="0" w:line="240" w:lineRule="auto"/>
              <w:jc w:val="center"/>
              <w:rPr>
                <w:rFonts w:ascii="Arial" w:hAnsi="Arial" w:cs="Arial"/>
                <w:sz w:val="24"/>
                <w:szCs w:val="24"/>
                <w:lang w:val="en-US"/>
              </w:rPr>
            </w:pPr>
            <w:r>
              <w:rPr>
                <w:rFonts w:ascii="Arial" w:hAnsi="Arial" w:cs="Arial"/>
                <w:sz w:val="24"/>
                <w:szCs w:val="24"/>
                <w:lang w:val="en-US"/>
              </w:rPr>
              <w:t>0</w:t>
            </w:r>
          </w:p>
        </w:tc>
        <w:tc>
          <w:tcPr>
            <w:tcW w:w="991" w:type="dxa"/>
            <w:tcBorders>
              <w:top w:val="nil"/>
              <w:left w:val="nil"/>
              <w:bottom w:val="single" w:sz="8" w:space="0" w:color="808080"/>
              <w:right w:val="single" w:sz="8" w:space="0" w:color="808080"/>
            </w:tcBorders>
            <w:shd w:val="clear" w:color="auto" w:fill="FF0000"/>
            <w:vAlign w:val="center"/>
          </w:tcPr>
          <w:p w:rsidR="00123998" w:rsidRPr="001C51AB" w:rsidRDefault="00123998" w:rsidP="00123998">
            <w:pPr>
              <w:spacing w:after="0" w:line="240" w:lineRule="auto"/>
              <w:jc w:val="center"/>
              <w:rPr>
                <w:rFonts w:ascii="Arial" w:hAnsi="Arial" w:cs="Arial"/>
                <w:b/>
                <w:bCs/>
                <w:color w:val="FFFFFF"/>
                <w:sz w:val="24"/>
                <w:szCs w:val="24"/>
                <w:lang w:val="en-US"/>
              </w:rPr>
            </w:pPr>
            <w:r>
              <w:rPr>
                <w:rFonts w:ascii="Arial" w:hAnsi="Arial" w:cs="Arial"/>
                <w:b/>
                <w:bCs/>
                <w:color w:val="FFFFFF"/>
                <w:sz w:val="24"/>
                <w:szCs w:val="24"/>
                <w:lang w:val="en-US"/>
              </w:rPr>
              <w:t>2</w:t>
            </w:r>
          </w:p>
        </w:tc>
        <w:tc>
          <w:tcPr>
            <w:tcW w:w="898" w:type="dxa"/>
            <w:tcBorders>
              <w:top w:val="nil"/>
              <w:left w:val="nil"/>
              <w:bottom w:val="single" w:sz="8" w:space="0" w:color="808080"/>
              <w:right w:val="single" w:sz="8" w:space="0" w:color="808080"/>
            </w:tcBorders>
            <w:shd w:val="clear" w:color="auto" w:fill="FF0000"/>
            <w:vAlign w:val="center"/>
          </w:tcPr>
          <w:p w:rsidR="00123998" w:rsidRPr="001C51AB" w:rsidRDefault="00123998" w:rsidP="00123998">
            <w:pPr>
              <w:spacing w:after="0" w:line="240" w:lineRule="auto"/>
              <w:jc w:val="center"/>
              <w:rPr>
                <w:rFonts w:ascii="Arial" w:hAnsi="Arial" w:cs="Arial"/>
                <w:b/>
                <w:bCs/>
                <w:color w:val="FFFFFF"/>
                <w:sz w:val="24"/>
                <w:szCs w:val="24"/>
                <w:lang w:val="en-US"/>
              </w:rPr>
            </w:pPr>
            <w:r>
              <w:rPr>
                <w:rFonts w:ascii="Arial" w:hAnsi="Arial" w:cs="Arial"/>
                <w:b/>
                <w:bCs/>
                <w:color w:val="FFFFFF"/>
                <w:sz w:val="24"/>
                <w:szCs w:val="24"/>
                <w:lang w:val="en-US"/>
              </w:rPr>
              <w:t>2</w:t>
            </w:r>
          </w:p>
        </w:tc>
        <w:tc>
          <w:tcPr>
            <w:tcW w:w="2362" w:type="dxa"/>
            <w:tcBorders>
              <w:top w:val="nil"/>
              <w:left w:val="nil"/>
              <w:bottom w:val="single" w:sz="8" w:space="0" w:color="808080"/>
              <w:right w:val="single" w:sz="8" w:space="0" w:color="808080"/>
            </w:tcBorders>
            <w:shd w:val="clear" w:color="auto" w:fill="FFFFFF"/>
            <w:vAlign w:val="center"/>
          </w:tcPr>
          <w:p w:rsidR="00123998" w:rsidRPr="001C51AB" w:rsidRDefault="00123998" w:rsidP="00123998">
            <w:pPr>
              <w:spacing w:after="0" w:line="240" w:lineRule="auto"/>
              <w:jc w:val="center"/>
              <w:rPr>
                <w:rFonts w:ascii="Arial" w:hAnsi="Arial" w:cs="Arial"/>
                <w:sz w:val="24"/>
                <w:szCs w:val="24"/>
                <w:lang w:val="en-US"/>
              </w:rPr>
            </w:pPr>
            <w:r>
              <w:rPr>
                <w:rFonts w:ascii="Arial" w:hAnsi="Arial" w:cs="Arial"/>
                <w:noProof/>
                <w:sz w:val="24"/>
                <w:szCs w:val="24"/>
                <w:lang w:eastAsia="en-GB"/>
              </w:rPr>
              <w:drawing>
                <wp:inline distT="0" distB="0" distL="0" distR="0" wp14:anchorId="31598645" wp14:editId="5280DCA8">
                  <wp:extent cx="1447800" cy="222250"/>
                  <wp:effectExtent l="0" t="0" r="0" b="63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68483" cy="225425"/>
                          </a:xfrm>
                          <a:prstGeom prst="rect">
                            <a:avLst/>
                          </a:prstGeom>
                          <a:noFill/>
                        </pic:spPr>
                      </pic:pic>
                    </a:graphicData>
                  </a:graphic>
                </wp:inline>
              </w:drawing>
            </w:r>
          </w:p>
        </w:tc>
      </w:tr>
      <w:tr w:rsidR="00123998" w:rsidRPr="001C51AB" w:rsidTr="00123998">
        <w:trPr>
          <w:trHeight w:val="2644"/>
        </w:trPr>
        <w:tc>
          <w:tcPr>
            <w:tcW w:w="9782" w:type="dxa"/>
            <w:gridSpan w:val="6"/>
            <w:tcBorders>
              <w:top w:val="nil"/>
              <w:left w:val="single" w:sz="8" w:space="0" w:color="808080"/>
              <w:bottom w:val="single" w:sz="8" w:space="0" w:color="808080"/>
              <w:right w:val="single" w:sz="8" w:space="0" w:color="808080"/>
            </w:tcBorders>
            <w:tcMar>
              <w:top w:w="0" w:type="dxa"/>
              <w:left w:w="108" w:type="dxa"/>
              <w:bottom w:w="0" w:type="dxa"/>
              <w:right w:w="108" w:type="dxa"/>
            </w:tcMar>
            <w:hideMark/>
          </w:tcPr>
          <w:p w:rsidR="00123998" w:rsidRPr="001C51AB" w:rsidRDefault="00123998" w:rsidP="00123998">
            <w:pPr>
              <w:spacing w:before="120" w:afterLines="40" w:after="96"/>
              <w:rPr>
                <w:rFonts w:ascii="Arial" w:hAnsi="Arial" w:cs="Arial"/>
                <w:b/>
                <w:bCs/>
                <w:sz w:val="24"/>
                <w:szCs w:val="24"/>
                <w:lang w:val="en-US" w:eastAsia="en-GB"/>
              </w:rPr>
            </w:pPr>
            <w:r w:rsidRPr="001C51AB">
              <w:rPr>
                <w:rFonts w:ascii="Arial" w:hAnsi="Arial" w:cs="Arial"/>
                <w:b/>
                <w:bCs/>
                <w:sz w:val="24"/>
                <w:szCs w:val="24"/>
                <w:lang w:val="en-US" w:eastAsia="en-GB"/>
              </w:rPr>
              <w:t>Reason for non-compliance</w:t>
            </w:r>
          </w:p>
          <w:p w:rsidR="00123998" w:rsidRDefault="00123998" w:rsidP="00123998">
            <w:pPr>
              <w:spacing w:after="0" w:line="240" w:lineRule="auto"/>
              <w:jc w:val="both"/>
              <w:rPr>
                <w:rFonts w:ascii="Arial" w:hAnsi="Arial" w:cs="Arial"/>
                <w:bCs/>
                <w:sz w:val="24"/>
                <w:szCs w:val="24"/>
                <w:lang w:val="en-US" w:eastAsia="en-GB"/>
              </w:rPr>
            </w:pPr>
            <w:r w:rsidRPr="001C51AB">
              <w:rPr>
                <w:rFonts w:ascii="Arial" w:hAnsi="Arial" w:cs="Arial"/>
                <w:bCs/>
                <w:sz w:val="24"/>
                <w:szCs w:val="24"/>
                <w:lang w:val="en-US" w:eastAsia="en-GB"/>
              </w:rPr>
              <w:t>There were 2 radiation incidents notifiable to the CQC under IRMER in May 2020. Both were due to procedural errors on the part of Operators.</w:t>
            </w:r>
          </w:p>
          <w:p w:rsidR="00123998" w:rsidRPr="001C51AB" w:rsidRDefault="00123998" w:rsidP="00123998">
            <w:pPr>
              <w:spacing w:after="0" w:line="240" w:lineRule="auto"/>
              <w:jc w:val="both"/>
              <w:rPr>
                <w:rFonts w:ascii="Arial" w:hAnsi="Arial" w:cs="Arial"/>
                <w:bCs/>
                <w:sz w:val="24"/>
                <w:szCs w:val="24"/>
                <w:lang w:val="en-US" w:eastAsia="en-GB"/>
              </w:rPr>
            </w:pPr>
          </w:p>
          <w:p w:rsidR="00123998" w:rsidRDefault="00123998" w:rsidP="00123998">
            <w:pPr>
              <w:spacing w:after="0" w:line="240" w:lineRule="auto"/>
              <w:jc w:val="both"/>
              <w:rPr>
                <w:rFonts w:ascii="Arial" w:hAnsi="Arial" w:cs="Arial"/>
                <w:bCs/>
                <w:sz w:val="24"/>
                <w:szCs w:val="24"/>
                <w:lang w:val="en-US" w:eastAsia="en-GB"/>
              </w:rPr>
            </w:pPr>
            <w:r>
              <w:rPr>
                <w:rFonts w:ascii="Arial" w:hAnsi="Arial" w:cs="Arial"/>
                <w:bCs/>
                <w:sz w:val="24"/>
                <w:szCs w:val="24"/>
                <w:lang w:val="en-US" w:eastAsia="en-GB"/>
              </w:rPr>
              <w:t xml:space="preserve">A contributory factor in one of the incidents was the requirement to enact a planned change in practice at speed due to amended working processes during the Covid pandemic. Process documents were written and a comprehensive training pack produced and delivered. However, this incident has shown that greater emphasis should have been placed on the more unusual treatment scenarios to ensure all processes were totally understood by staff. The training package has since been amended. This incident was considered to have caused low harm to the patient. </w:t>
            </w:r>
          </w:p>
          <w:p w:rsidR="00123998" w:rsidRPr="001C51AB" w:rsidRDefault="00123998" w:rsidP="00123998">
            <w:pPr>
              <w:spacing w:after="0" w:line="240" w:lineRule="auto"/>
              <w:jc w:val="both"/>
              <w:rPr>
                <w:rFonts w:ascii="Arial" w:hAnsi="Arial" w:cs="Arial"/>
                <w:bCs/>
                <w:sz w:val="24"/>
                <w:szCs w:val="24"/>
                <w:lang w:val="en-US" w:eastAsia="en-GB"/>
              </w:rPr>
            </w:pPr>
          </w:p>
          <w:p w:rsidR="00123998" w:rsidRPr="001C51AB" w:rsidRDefault="00123998" w:rsidP="00123998">
            <w:pPr>
              <w:spacing w:after="0" w:line="240" w:lineRule="auto"/>
              <w:jc w:val="both"/>
              <w:rPr>
                <w:rFonts w:ascii="Arial" w:hAnsi="Arial" w:cs="Arial"/>
                <w:bCs/>
                <w:sz w:val="24"/>
                <w:szCs w:val="24"/>
                <w:lang w:val="en-US" w:eastAsia="en-GB"/>
              </w:rPr>
            </w:pPr>
            <w:r w:rsidRPr="001C51AB">
              <w:rPr>
                <w:rFonts w:ascii="Arial" w:hAnsi="Arial" w:cs="Arial"/>
                <w:bCs/>
                <w:sz w:val="24"/>
                <w:szCs w:val="24"/>
                <w:lang w:val="en-US" w:eastAsia="en-GB"/>
              </w:rPr>
              <w:t>The second incident was considered to have caused no harm to the patient. Pressure to complete production and checking of a replan requested on the day that the patient was due to start radiotherapy contributed to this incident.</w:t>
            </w:r>
          </w:p>
        </w:tc>
      </w:tr>
      <w:tr w:rsidR="00123998" w:rsidRPr="001C51AB" w:rsidTr="00123998">
        <w:trPr>
          <w:trHeight w:val="638"/>
        </w:trPr>
        <w:tc>
          <w:tcPr>
            <w:tcW w:w="9782" w:type="dxa"/>
            <w:gridSpan w:val="6"/>
            <w:tcBorders>
              <w:top w:val="nil"/>
              <w:left w:val="single" w:sz="8" w:space="0" w:color="808080"/>
              <w:bottom w:val="single" w:sz="8" w:space="0" w:color="808080"/>
              <w:right w:val="single" w:sz="8" w:space="0" w:color="808080"/>
            </w:tcBorders>
            <w:tcMar>
              <w:top w:w="0" w:type="dxa"/>
              <w:left w:w="108" w:type="dxa"/>
              <w:bottom w:w="0" w:type="dxa"/>
              <w:right w:w="108" w:type="dxa"/>
            </w:tcMar>
            <w:hideMark/>
          </w:tcPr>
          <w:p w:rsidR="00123998" w:rsidRPr="006C2A77" w:rsidRDefault="00123998" w:rsidP="00123998">
            <w:pPr>
              <w:spacing w:before="120" w:afterLines="40" w:after="96"/>
              <w:rPr>
                <w:rFonts w:ascii="Arial" w:hAnsi="Arial" w:cs="Arial"/>
                <w:b/>
                <w:bCs/>
                <w:sz w:val="24"/>
                <w:szCs w:val="24"/>
                <w:lang w:val="en-US" w:eastAsia="en-GB"/>
              </w:rPr>
            </w:pPr>
            <w:r w:rsidRPr="006C2A77">
              <w:rPr>
                <w:rFonts w:ascii="Arial" w:hAnsi="Arial" w:cs="Arial"/>
                <w:b/>
                <w:bCs/>
                <w:sz w:val="24"/>
                <w:szCs w:val="24"/>
                <w:lang w:val="en-US" w:eastAsia="en-GB"/>
              </w:rPr>
              <w:t>Action taken to improve compliance:</w:t>
            </w:r>
          </w:p>
          <w:p w:rsidR="00123998" w:rsidRPr="001C51AB" w:rsidRDefault="00123998" w:rsidP="00123998">
            <w:pPr>
              <w:numPr>
                <w:ilvl w:val="0"/>
                <w:numId w:val="27"/>
              </w:numPr>
              <w:spacing w:after="0" w:line="240" w:lineRule="auto"/>
              <w:contextualSpacing/>
              <w:rPr>
                <w:rFonts w:ascii="Arial" w:hAnsi="Arial" w:cs="Arial"/>
                <w:bCs/>
                <w:sz w:val="24"/>
                <w:szCs w:val="24"/>
                <w:lang w:val="en-US" w:eastAsia="en-GB"/>
              </w:rPr>
            </w:pPr>
            <w:r w:rsidRPr="001C51AB">
              <w:rPr>
                <w:rFonts w:ascii="Arial" w:hAnsi="Arial" w:cs="Arial"/>
                <w:bCs/>
                <w:sz w:val="24"/>
                <w:szCs w:val="24"/>
                <w:lang w:val="en-US" w:eastAsia="en-GB"/>
              </w:rPr>
              <w:t>72 hour reviews held for both incidents</w:t>
            </w:r>
            <w:r>
              <w:rPr>
                <w:rFonts w:ascii="Arial" w:hAnsi="Arial" w:cs="Arial"/>
                <w:bCs/>
                <w:sz w:val="24"/>
                <w:szCs w:val="24"/>
                <w:lang w:val="en-US" w:eastAsia="en-GB"/>
              </w:rPr>
              <w:t xml:space="preserve"> to identify immediate learning</w:t>
            </w:r>
          </w:p>
          <w:p w:rsidR="00123998" w:rsidRPr="001C51AB" w:rsidRDefault="00123998" w:rsidP="00123998">
            <w:pPr>
              <w:numPr>
                <w:ilvl w:val="0"/>
                <w:numId w:val="27"/>
              </w:numPr>
              <w:spacing w:after="0" w:line="240" w:lineRule="auto"/>
              <w:contextualSpacing/>
              <w:rPr>
                <w:rFonts w:ascii="Arial" w:hAnsi="Arial" w:cs="Arial"/>
                <w:bCs/>
                <w:sz w:val="24"/>
                <w:szCs w:val="24"/>
                <w:lang w:val="en-US" w:eastAsia="en-GB"/>
              </w:rPr>
            </w:pPr>
            <w:r w:rsidRPr="001C51AB">
              <w:rPr>
                <w:rFonts w:ascii="Arial" w:hAnsi="Arial" w:cs="Arial"/>
                <w:bCs/>
                <w:sz w:val="24"/>
                <w:szCs w:val="24"/>
                <w:lang w:val="en-US" w:eastAsia="en-GB"/>
              </w:rPr>
              <w:t>Process documents and training package contents reviewed</w:t>
            </w:r>
          </w:p>
          <w:p w:rsidR="00123998" w:rsidRPr="001C51AB" w:rsidRDefault="00123998" w:rsidP="00123998">
            <w:pPr>
              <w:numPr>
                <w:ilvl w:val="0"/>
                <w:numId w:val="27"/>
              </w:numPr>
              <w:spacing w:after="0" w:line="240" w:lineRule="auto"/>
              <w:contextualSpacing/>
              <w:rPr>
                <w:rFonts w:ascii="Arial" w:hAnsi="Arial" w:cs="Arial"/>
                <w:bCs/>
                <w:sz w:val="24"/>
                <w:szCs w:val="24"/>
                <w:lang w:val="en-US" w:eastAsia="en-GB"/>
              </w:rPr>
            </w:pPr>
            <w:r w:rsidRPr="001C51AB">
              <w:rPr>
                <w:rFonts w:ascii="Arial" w:hAnsi="Arial" w:cs="Arial"/>
                <w:bCs/>
                <w:sz w:val="24"/>
                <w:szCs w:val="24"/>
                <w:lang w:val="en-US" w:eastAsia="en-GB"/>
              </w:rPr>
              <w:t>Review of Immobilisation document (set up instructions) in progress</w:t>
            </w:r>
          </w:p>
          <w:p w:rsidR="00123998" w:rsidRPr="001C51AB" w:rsidRDefault="00123998" w:rsidP="00123998">
            <w:pPr>
              <w:numPr>
                <w:ilvl w:val="0"/>
                <w:numId w:val="27"/>
              </w:numPr>
              <w:spacing w:after="0" w:line="240" w:lineRule="auto"/>
              <w:contextualSpacing/>
              <w:rPr>
                <w:rFonts w:ascii="Arial" w:hAnsi="Arial" w:cs="Arial"/>
                <w:bCs/>
                <w:sz w:val="24"/>
                <w:szCs w:val="24"/>
                <w:lang w:val="en-US" w:eastAsia="en-GB"/>
              </w:rPr>
            </w:pPr>
            <w:r w:rsidRPr="001C51AB">
              <w:rPr>
                <w:rFonts w:ascii="Arial" w:hAnsi="Arial" w:cs="Arial"/>
                <w:bCs/>
                <w:sz w:val="24"/>
                <w:szCs w:val="24"/>
                <w:lang w:val="en-US" w:eastAsia="en-GB"/>
              </w:rPr>
              <w:t xml:space="preserve">A formal process document indicating the minimum amount of time necessary to carry out each task on the pathway safely is being developed. This will provide staff with structured, risk-based guidance that can be applied to all patients, reducing the pressure on staff to make decisions on an individual patient basis </w:t>
            </w:r>
          </w:p>
          <w:p w:rsidR="00123998" w:rsidRPr="001C51AB" w:rsidRDefault="00123998" w:rsidP="00123998">
            <w:pPr>
              <w:numPr>
                <w:ilvl w:val="0"/>
                <w:numId w:val="27"/>
              </w:numPr>
              <w:spacing w:after="0" w:line="240" w:lineRule="auto"/>
              <w:contextualSpacing/>
              <w:rPr>
                <w:rFonts w:ascii="Arial" w:hAnsi="Arial" w:cs="Arial"/>
                <w:bCs/>
                <w:sz w:val="24"/>
                <w:szCs w:val="24"/>
                <w:lang w:val="en-US" w:eastAsia="en-GB"/>
              </w:rPr>
            </w:pPr>
            <w:r w:rsidRPr="001C51AB">
              <w:rPr>
                <w:rFonts w:ascii="Arial" w:hAnsi="Arial" w:cs="Arial"/>
                <w:bCs/>
                <w:sz w:val="24"/>
                <w:szCs w:val="24"/>
                <w:lang w:val="en-US" w:eastAsia="en-GB"/>
              </w:rPr>
              <w:t>Reminder of correct procedures issued to all staff, including medical staff</w:t>
            </w:r>
          </w:p>
          <w:p w:rsidR="00123998" w:rsidRPr="001C51AB" w:rsidRDefault="00123998" w:rsidP="00123998">
            <w:pPr>
              <w:numPr>
                <w:ilvl w:val="0"/>
                <w:numId w:val="27"/>
              </w:numPr>
              <w:spacing w:after="0" w:line="240" w:lineRule="auto"/>
              <w:contextualSpacing/>
              <w:rPr>
                <w:rFonts w:ascii="Arial" w:hAnsi="Arial" w:cs="Arial"/>
                <w:bCs/>
                <w:sz w:val="24"/>
                <w:szCs w:val="24"/>
                <w:lang w:val="en-US" w:eastAsia="en-GB"/>
              </w:rPr>
            </w:pPr>
            <w:r w:rsidRPr="001C51AB">
              <w:rPr>
                <w:rFonts w:ascii="Arial" w:hAnsi="Arial" w:cs="Arial"/>
                <w:bCs/>
                <w:sz w:val="24"/>
                <w:szCs w:val="24"/>
                <w:lang w:val="en-US" w:eastAsia="en-GB"/>
              </w:rPr>
              <w:t>Learning included in L</w:t>
            </w:r>
            <w:r>
              <w:rPr>
                <w:rFonts w:ascii="Arial" w:hAnsi="Arial" w:cs="Arial"/>
                <w:bCs/>
                <w:sz w:val="24"/>
                <w:szCs w:val="24"/>
                <w:lang w:val="en-US" w:eastAsia="en-GB"/>
              </w:rPr>
              <w:t xml:space="preserve">essons Learnt section of June Quality and </w:t>
            </w:r>
            <w:r w:rsidRPr="001C51AB">
              <w:rPr>
                <w:rFonts w:ascii="Arial" w:hAnsi="Arial" w:cs="Arial"/>
                <w:bCs/>
                <w:sz w:val="24"/>
                <w:szCs w:val="24"/>
                <w:lang w:val="en-US" w:eastAsia="en-GB"/>
              </w:rPr>
              <w:t>S</w:t>
            </w:r>
            <w:r>
              <w:rPr>
                <w:rFonts w:ascii="Arial" w:hAnsi="Arial" w:cs="Arial"/>
                <w:bCs/>
                <w:sz w:val="24"/>
                <w:szCs w:val="24"/>
                <w:lang w:val="en-US" w:eastAsia="en-GB"/>
              </w:rPr>
              <w:t>afety</w:t>
            </w:r>
            <w:r w:rsidRPr="001C51AB">
              <w:rPr>
                <w:rFonts w:ascii="Arial" w:hAnsi="Arial" w:cs="Arial"/>
                <w:bCs/>
                <w:sz w:val="24"/>
                <w:szCs w:val="24"/>
                <w:lang w:val="en-US" w:eastAsia="en-GB"/>
              </w:rPr>
              <w:t xml:space="preserve"> data pack</w:t>
            </w:r>
          </w:p>
          <w:p w:rsidR="00123998" w:rsidRPr="001C51AB" w:rsidRDefault="00123998" w:rsidP="00123998">
            <w:pPr>
              <w:numPr>
                <w:ilvl w:val="0"/>
                <w:numId w:val="27"/>
              </w:numPr>
              <w:spacing w:after="0" w:line="240" w:lineRule="auto"/>
              <w:contextualSpacing/>
              <w:rPr>
                <w:rFonts w:ascii="Arial" w:hAnsi="Arial" w:cs="Arial"/>
                <w:b/>
                <w:bCs/>
                <w:sz w:val="24"/>
                <w:szCs w:val="24"/>
                <w:lang w:val="en-US" w:eastAsia="en-GB"/>
              </w:rPr>
            </w:pPr>
            <w:r w:rsidRPr="001C51AB">
              <w:rPr>
                <w:rFonts w:ascii="Arial" w:hAnsi="Arial" w:cs="Arial"/>
                <w:bCs/>
                <w:sz w:val="24"/>
                <w:szCs w:val="24"/>
                <w:lang w:val="en-US" w:eastAsia="en-GB"/>
              </w:rPr>
              <w:t xml:space="preserve">London Protocol Investigations underway for both incidents to ensure all Care </w:t>
            </w:r>
            <w:r w:rsidRPr="001C51AB">
              <w:rPr>
                <w:rFonts w:ascii="Arial" w:hAnsi="Arial" w:cs="Arial"/>
                <w:bCs/>
                <w:sz w:val="24"/>
                <w:szCs w:val="24"/>
                <w:lang w:val="en-US" w:eastAsia="en-GB"/>
              </w:rPr>
              <w:lastRenderedPageBreak/>
              <w:t>Delivery Problems are identified and addressed</w:t>
            </w:r>
          </w:p>
        </w:tc>
      </w:tr>
      <w:tr w:rsidR="00123998" w:rsidRPr="001C51AB" w:rsidTr="00123998">
        <w:trPr>
          <w:trHeight w:hRule="exact" w:val="1397"/>
        </w:trPr>
        <w:tc>
          <w:tcPr>
            <w:tcW w:w="3240" w:type="dxa"/>
            <w:tcBorders>
              <w:top w:val="nil"/>
              <w:left w:val="single" w:sz="8" w:space="0" w:color="808080"/>
              <w:bottom w:val="single" w:sz="8" w:space="0" w:color="808080"/>
              <w:right w:val="single" w:sz="8" w:space="0" w:color="808080"/>
            </w:tcBorders>
            <w:tcMar>
              <w:top w:w="0" w:type="dxa"/>
              <w:left w:w="108" w:type="dxa"/>
              <w:bottom w:w="0" w:type="dxa"/>
              <w:right w:w="108" w:type="dxa"/>
            </w:tcMar>
            <w:vAlign w:val="center"/>
            <w:hideMark/>
          </w:tcPr>
          <w:p w:rsidR="00123998" w:rsidRPr="001C51AB" w:rsidRDefault="00123998" w:rsidP="00123998">
            <w:pPr>
              <w:spacing w:before="60" w:after="60"/>
              <w:rPr>
                <w:rFonts w:ascii="Arial" w:hAnsi="Arial" w:cs="Arial"/>
                <w:b/>
                <w:bCs/>
                <w:sz w:val="24"/>
                <w:szCs w:val="24"/>
                <w:lang w:val="en-US" w:eastAsia="en-GB"/>
              </w:rPr>
            </w:pPr>
            <w:r w:rsidRPr="001C51AB">
              <w:rPr>
                <w:rFonts w:ascii="Arial" w:hAnsi="Arial" w:cs="Arial"/>
                <w:b/>
                <w:bCs/>
                <w:sz w:val="24"/>
                <w:szCs w:val="24"/>
                <w:lang w:val="en-US" w:eastAsia="en-GB"/>
              </w:rPr>
              <w:lastRenderedPageBreak/>
              <w:t>Expected date of compliance</w:t>
            </w:r>
          </w:p>
        </w:tc>
        <w:tc>
          <w:tcPr>
            <w:tcW w:w="6542" w:type="dxa"/>
            <w:gridSpan w:val="5"/>
            <w:tcBorders>
              <w:top w:val="nil"/>
              <w:left w:val="nil"/>
              <w:bottom w:val="single" w:sz="8" w:space="0" w:color="808080"/>
              <w:right w:val="single" w:sz="8" w:space="0" w:color="808080"/>
            </w:tcBorders>
            <w:tcMar>
              <w:top w:w="0" w:type="dxa"/>
              <w:left w:w="108" w:type="dxa"/>
              <w:bottom w:w="0" w:type="dxa"/>
              <w:right w:w="108" w:type="dxa"/>
            </w:tcMar>
            <w:vAlign w:val="center"/>
          </w:tcPr>
          <w:p w:rsidR="00123998" w:rsidRPr="001C51AB" w:rsidRDefault="00123998" w:rsidP="00123998">
            <w:pPr>
              <w:spacing w:before="60" w:after="60"/>
              <w:rPr>
                <w:rFonts w:ascii="Arial" w:hAnsi="Arial" w:cs="Arial"/>
                <w:sz w:val="24"/>
                <w:szCs w:val="24"/>
                <w:lang w:val="en-US"/>
              </w:rPr>
            </w:pPr>
            <w:r w:rsidRPr="001C51AB">
              <w:rPr>
                <w:rFonts w:ascii="Arial" w:hAnsi="Arial" w:cs="Arial"/>
                <w:sz w:val="24"/>
                <w:szCs w:val="24"/>
                <w:lang w:val="en-US"/>
              </w:rPr>
              <w:t>Improved compliance with IRMER target expected by end of June 2020.</w:t>
            </w:r>
          </w:p>
          <w:p w:rsidR="00123998" w:rsidRPr="001C51AB" w:rsidRDefault="00123998" w:rsidP="00123998">
            <w:pPr>
              <w:spacing w:before="60" w:after="60"/>
              <w:rPr>
                <w:rFonts w:ascii="Arial" w:hAnsi="Arial" w:cs="Arial"/>
                <w:sz w:val="24"/>
                <w:szCs w:val="24"/>
                <w:lang w:val="en-US"/>
              </w:rPr>
            </w:pPr>
            <w:r w:rsidRPr="001C51AB">
              <w:rPr>
                <w:rFonts w:ascii="Arial" w:hAnsi="Arial" w:cs="Arial"/>
                <w:sz w:val="24"/>
                <w:szCs w:val="24"/>
                <w:lang w:val="en-US"/>
              </w:rPr>
              <w:t>Expected date of London Protocol Reports for both incidents is 24</w:t>
            </w:r>
            <w:r w:rsidRPr="001C51AB">
              <w:rPr>
                <w:rFonts w:ascii="Arial" w:hAnsi="Arial" w:cs="Arial"/>
                <w:sz w:val="24"/>
                <w:szCs w:val="24"/>
                <w:vertAlign w:val="superscript"/>
                <w:lang w:val="en-US"/>
              </w:rPr>
              <w:t>th</w:t>
            </w:r>
            <w:r w:rsidRPr="001C51AB">
              <w:rPr>
                <w:rFonts w:ascii="Arial" w:hAnsi="Arial" w:cs="Arial"/>
                <w:sz w:val="24"/>
                <w:szCs w:val="24"/>
                <w:lang w:val="en-US"/>
              </w:rPr>
              <w:t xml:space="preserve"> July 2020</w:t>
            </w:r>
          </w:p>
        </w:tc>
      </w:tr>
      <w:tr w:rsidR="00123998" w:rsidRPr="001C51AB" w:rsidTr="00123998">
        <w:trPr>
          <w:trHeight w:hRule="exact" w:val="1016"/>
        </w:trPr>
        <w:tc>
          <w:tcPr>
            <w:tcW w:w="3240" w:type="dxa"/>
            <w:tcBorders>
              <w:top w:val="nil"/>
              <w:left w:val="single" w:sz="8" w:space="0" w:color="808080"/>
              <w:bottom w:val="single" w:sz="8" w:space="0" w:color="808080"/>
              <w:right w:val="single" w:sz="8" w:space="0" w:color="808080"/>
            </w:tcBorders>
            <w:tcMar>
              <w:top w:w="0" w:type="dxa"/>
              <w:left w:w="108" w:type="dxa"/>
              <w:bottom w:w="0" w:type="dxa"/>
              <w:right w:w="108" w:type="dxa"/>
            </w:tcMar>
            <w:vAlign w:val="center"/>
            <w:hideMark/>
          </w:tcPr>
          <w:p w:rsidR="00123998" w:rsidRPr="001C51AB" w:rsidRDefault="00123998" w:rsidP="00123998">
            <w:pPr>
              <w:spacing w:before="60" w:after="60"/>
              <w:rPr>
                <w:rFonts w:ascii="Arial" w:hAnsi="Arial" w:cs="Arial"/>
                <w:b/>
                <w:bCs/>
                <w:sz w:val="24"/>
                <w:szCs w:val="24"/>
                <w:lang w:val="en-US" w:eastAsia="en-GB"/>
              </w:rPr>
            </w:pPr>
            <w:r w:rsidRPr="001C51AB">
              <w:rPr>
                <w:rFonts w:ascii="Arial" w:hAnsi="Arial" w:cs="Arial"/>
                <w:b/>
                <w:bCs/>
                <w:sz w:val="24"/>
                <w:szCs w:val="24"/>
                <w:lang w:val="en-US" w:eastAsia="en-GB"/>
              </w:rPr>
              <w:t>Escalation route</w:t>
            </w:r>
          </w:p>
        </w:tc>
        <w:tc>
          <w:tcPr>
            <w:tcW w:w="6542" w:type="dxa"/>
            <w:gridSpan w:val="5"/>
            <w:tcBorders>
              <w:top w:val="nil"/>
              <w:left w:val="nil"/>
              <w:bottom w:val="single" w:sz="8" w:space="0" w:color="808080"/>
              <w:right w:val="single" w:sz="8" w:space="0" w:color="808080"/>
            </w:tcBorders>
            <w:tcMar>
              <w:top w:w="0" w:type="dxa"/>
              <w:left w:w="108" w:type="dxa"/>
              <w:bottom w:w="0" w:type="dxa"/>
              <w:right w:w="108" w:type="dxa"/>
            </w:tcMar>
            <w:vAlign w:val="center"/>
          </w:tcPr>
          <w:p w:rsidR="00123998" w:rsidRPr="001C51AB" w:rsidRDefault="00123998" w:rsidP="00123998">
            <w:pPr>
              <w:spacing w:before="60" w:after="60"/>
              <w:rPr>
                <w:rFonts w:ascii="Arial" w:hAnsi="Arial" w:cs="Arial"/>
                <w:color w:val="000000"/>
                <w:sz w:val="24"/>
                <w:szCs w:val="24"/>
                <w:lang w:val="en-US" w:eastAsia="en-GB"/>
              </w:rPr>
            </w:pPr>
            <w:r w:rsidRPr="001C51AB">
              <w:rPr>
                <w:rFonts w:ascii="Arial" w:hAnsi="Arial" w:cs="Arial"/>
                <w:color w:val="000000"/>
                <w:sz w:val="24"/>
                <w:szCs w:val="24"/>
                <w:lang w:val="en-US" w:eastAsia="en-GB"/>
              </w:rPr>
              <w:t xml:space="preserve">Directorate Quality and Safety Meeting/Directorate Performance Review/Performance Committee/ </w:t>
            </w:r>
            <w:r>
              <w:rPr>
                <w:rFonts w:ascii="Arial" w:hAnsi="Arial" w:cs="Arial"/>
                <w:szCs w:val="20"/>
                <w:lang w:val="en-US" w:eastAsia="en-GB"/>
              </w:rPr>
              <w:t>Board of Directors</w:t>
            </w:r>
          </w:p>
        </w:tc>
      </w:tr>
      <w:tr w:rsidR="00123998" w:rsidRPr="001C51AB" w:rsidTr="00123998">
        <w:trPr>
          <w:trHeight w:hRule="exact" w:val="567"/>
        </w:trPr>
        <w:tc>
          <w:tcPr>
            <w:tcW w:w="3240" w:type="dxa"/>
            <w:tcBorders>
              <w:top w:val="nil"/>
              <w:left w:val="single" w:sz="8" w:space="0" w:color="808080"/>
              <w:bottom w:val="single" w:sz="8" w:space="0" w:color="808080"/>
              <w:right w:val="single" w:sz="8" w:space="0" w:color="808080"/>
            </w:tcBorders>
            <w:tcMar>
              <w:top w:w="0" w:type="dxa"/>
              <w:left w:w="108" w:type="dxa"/>
              <w:bottom w:w="0" w:type="dxa"/>
              <w:right w:w="108" w:type="dxa"/>
            </w:tcMar>
            <w:vAlign w:val="center"/>
            <w:hideMark/>
          </w:tcPr>
          <w:p w:rsidR="00123998" w:rsidRPr="001C51AB" w:rsidRDefault="00123998" w:rsidP="00123998">
            <w:pPr>
              <w:spacing w:before="60" w:after="60"/>
              <w:rPr>
                <w:rFonts w:ascii="Arial" w:hAnsi="Arial" w:cs="Arial"/>
                <w:b/>
                <w:bCs/>
                <w:sz w:val="24"/>
                <w:szCs w:val="24"/>
                <w:lang w:val="en-US" w:eastAsia="en-GB"/>
              </w:rPr>
            </w:pPr>
            <w:r w:rsidRPr="001C51AB">
              <w:rPr>
                <w:rFonts w:ascii="Arial" w:hAnsi="Arial" w:cs="Arial"/>
                <w:b/>
                <w:bCs/>
                <w:sz w:val="24"/>
                <w:szCs w:val="24"/>
                <w:lang w:val="en-US" w:eastAsia="en-GB"/>
              </w:rPr>
              <w:t>Executive Lead</w:t>
            </w:r>
          </w:p>
        </w:tc>
        <w:tc>
          <w:tcPr>
            <w:tcW w:w="6542" w:type="dxa"/>
            <w:gridSpan w:val="5"/>
            <w:tcBorders>
              <w:top w:val="nil"/>
              <w:left w:val="nil"/>
              <w:bottom w:val="single" w:sz="8" w:space="0" w:color="808080"/>
              <w:right w:val="single" w:sz="8" w:space="0" w:color="808080"/>
            </w:tcBorders>
            <w:tcMar>
              <w:top w:w="0" w:type="dxa"/>
              <w:left w:w="108" w:type="dxa"/>
              <w:bottom w:w="0" w:type="dxa"/>
              <w:right w:w="108" w:type="dxa"/>
            </w:tcMar>
            <w:vAlign w:val="center"/>
            <w:hideMark/>
          </w:tcPr>
          <w:p w:rsidR="00123998" w:rsidRPr="001C51AB" w:rsidRDefault="00123998" w:rsidP="00123998">
            <w:pPr>
              <w:spacing w:before="60" w:after="60"/>
              <w:rPr>
                <w:rFonts w:ascii="Arial" w:hAnsi="Arial" w:cs="Arial"/>
                <w:color w:val="000000"/>
                <w:sz w:val="24"/>
                <w:szCs w:val="24"/>
                <w:lang w:val="en-US" w:eastAsia="en-GB"/>
              </w:rPr>
            </w:pPr>
            <w:r w:rsidRPr="001C51AB">
              <w:rPr>
                <w:rFonts w:ascii="Arial" w:hAnsi="Arial" w:cs="Arial"/>
                <w:color w:val="000000"/>
                <w:sz w:val="24"/>
                <w:szCs w:val="24"/>
                <w:lang w:val="en-US" w:eastAsia="en-GB"/>
              </w:rPr>
              <w:t>Sheila Lloyd, Director of Nursing and Quality</w:t>
            </w:r>
          </w:p>
        </w:tc>
      </w:tr>
    </w:tbl>
    <w:p w:rsidR="00123998" w:rsidRDefault="00123998" w:rsidP="001F1BE0">
      <w:pPr>
        <w:autoSpaceDE w:val="0"/>
        <w:autoSpaceDN w:val="0"/>
        <w:adjustRightInd w:val="0"/>
        <w:spacing w:after="0" w:line="240" w:lineRule="auto"/>
        <w:ind w:left="-426"/>
        <w:jc w:val="both"/>
        <w:rPr>
          <w:rFonts w:ascii="Arial" w:eastAsia="Calibri" w:hAnsi="Arial" w:cs="Arial"/>
          <w:b/>
          <w:bCs/>
          <w:sz w:val="32"/>
          <w:szCs w:val="24"/>
          <w:highlight w:val="yellow"/>
        </w:rPr>
      </w:pPr>
    </w:p>
    <w:tbl>
      <w:tblPr>
        <w:tblW w:w="9782" w:type="dxa"/>
        <w:tblInd w:w="-318" w:type="dxa"/>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CellMar>
          <w:left w:w="0" w:type="dxa"/>
          <w:right w:w="0" w:type="dxa"/>
        </w:tblCellMar>
        <w:tblLook w:val="04A0" w:firstRow="1" w:lastRow="0" w:firstColumn="1" w:lastColumn="0" w:noHBand="0" w:noVBand="1"/>
      </w:tblPr>
      <w:tblGrid>
        <w:gridCol w:w="3545"/>
        <w:gridCol w:w="850"/>
        <w:gridCol w:w="795"/>
        <w:gridCol w:w="992"/>
        <w:gridCol w:w="993"/>
        <w:gridCol w:w="2607"/>
      </w:tblGrid>
      <w:tr w:rsidR="008A3D9C" w:rsidTr="00123998">
        <w:trPr>
          <w:trHeight w:hRule="exact" w:val="587"/>
        </w:trPr>
        <w:tc>
          <w:tcPr>
            <w:tcW w:w="4395" w:type="dxa"/>
            <w:gridSpan w:val="2"/>
            <w:vMerge w:val="restart"/>
            <w:shd w:val="clear" w:color="auto" w:fill="4F81BD"/>
            <w:tcMar>
              <w:top w:w="0" w:type="dxa"/>
              <w:left w:w="108" w:type="dxa"/>
              <w:bottom w:w="0" w:type="dxa"/>
              <w:right w:w="108" w:type="dxa"/>
            </w:tcMar>
            <w:vAlign w:val="center"/>
            <w:hideMark/>
          </w:tcPr>
          <w:p w:rsidR="008A3D9C" w:rsidRDefault="008A3D9C" w:rsidP="0030467B">
            <w:pPr>
              <w:spacing w:after="0" w:line="240" w:lineRule="auto"/>
              <w:rPr>
                <w:rFonts w:ascii="Arial" w:hAnsi="Arial" w:cs="Arial"/>
                <w:b/>
                <w:bCs/>
                <w:color w:val="FFFFFF"/>
                <w:lang w:val="en-US"/>
              </w:rPr>
            </w:pPr>
            <w:r w:rsidRPr="00123998">
              <w:rPr>
                <w:rFonts w:ascii="Arial" w:hAnsi="Arial" w:cs="Arial"/>
                <w:b/>
                <w:bCs/>
                <w:color w:val="FFFFFF"/>
                <w:sz w:val="24"/>
                <w:lang w:val="en-US"/>
              </w:rPr>
              <w:t>% of Policies In Date</w:t>
            </w:r>
          </w:p>
        </w:tc>
        <w:tc>
          <w:tcPr>
            <w:tcW w:w="795" w:type="dxa"/>
            <w:vAlign w:val="center"/>
            <w:hideMark/>
          </w:tcPr>
          <w:p w:rsidR="008A3D9C" w:rsidRDefault="008A3D9C" w:rsidP="0030467B">
            <w:pPr>
              <w:spacing w:after="0" w:line="240" w:lineRule="auto"/>
              <w:jc w:val="center"/>
              <w:rPr>
                <w:rFonts w:ascii="Arial" w:hAnsi="Arial" w:cs="Arial"/>
                <w:b/>
                <w:bCs/>
                <w:lang w:val="en-US"/>
              </w:rPr>
            </w:pPr>
            <w:r>
              <w:rPr>
                <w:rFonts w:ascii="Arial" w:hAnsi="Arial" w:cs="Arial"/>
                <w:b/>
                <w:bCs/>
                <w:lang w:val="en-US"/>
              </w:rPr>
              <w:t>Target</w:t>
            </w:r>
          </w:p>
        </w:tc>
        <w:tc>
          <w:tcPr>
            <w:tcW w:w="992" w:type="dxa"/>
            <w:vAlign w:val="center"/>
            <w:hideMark/>
          </w:tcPr>
          <w:p w:rsidR="008A3D9C" w:rsidRPr="001A543B" w:rsidRDefault="008A3D9C" w:rsidP="0030467B">
            <w:pPr>
              <w:spacing w:after="0" w:line="240" w:lineRule="auto"/>
              <w:jc w:val="center"/>
              <w:rPr>
                <w:rFonts w:ascii="Arial" w:hAnsi="Arial" w:cs="Arial"/>
                <w:b/>
                <w:bCs/>
                <w:lang w:val="en-US"/>
              </w:rPr>
            </w:pPr>
            <w:r>
              <w:rPr>
                <w:rFonts w:ascii="Arial" w:hAnsi="Arial" w:cs="Arial"/>
                <w:b/>
                <w:bCs/>
                <w:lang w:val="en-US"/>
              </w:rPr>
              <w:t>May 20</w:t>
            </w:r>
          </w:p>
        </w:tc>
        <w:tc>
          <w:tcPr>
            <w:tcW w:w="993" w:type="dxa"/>
            <w:vAlign w:val="center"/>
          </w:tcPr>
          <w:p w:rsidR="008A3D9C" w:rsidRPr="001A543B" w:rsidRDefault="008A3D9C" w:rsidP="0030467B">
            <w:pPr>
              <w:spacing w:after="0" w:line="240" w:lineRule="auto"/>
              <w:jc w:val="center"/>
              <w:rPr>
                <w:rFonts w:ascii="Arial" w:hAnsi="Arial" w:cs="Arial"/>
                <w:b/>
                <w:bCs/>
                <w:lang w:val="en-US"/>
              </w:rPr>
            </w:pPr>
            <w:r>
              <w:rPr>
                <w:rFonts w:ascii="Arial" w:hAnsi="Arial" w:cs="Arial"/>
                <w:b/>
                <w:bCs/>
                <w:lang w:val="en-US"/>
              </w:rPr>
              <w:t>YTD</w:t>
            </w:r>
          </w:p>
        </w:tc>
        <w:tc>
          <w:tcPr>
            <w:tcW w:w="2607" w:type="dxa"/>
            <w:vAlign w:val="center"/>
            <w:hideMark/>
          </w:tcPr>
          <w:p w:rsidR="008A3D9C" w:rsidRDefault="008A3D9C" w:rsidP="0030467B">
            <w:pPr>
              <w:spacing w:after="0" w:line="240" w:lineRule="auto"/>
              <w:jc w:val="center"/>
              <w:rPr>
                <w:rFonts w:ascii="Arial" w:hAnsi="Arial" w:cs="Arial"/>
                <w:b/>
                <w:bCs/>
                <w:lang w:val="en-US"/>
              </w:rPr>
            </w:pPr>
            <w:r>
              <w:rPr>
                <w:rFonts w:ascii="Arial" w:hAnsi="Arial" w:cs="Arial"/>
                <w:b/>
                <w:bCs/>
                <w:lang w:val="en-US"/>
              </w:rPr>
              <w:t>April – May 2020</w:t>
            </w:r>
          </w:p>
        </w:tc>
      </w:tr>
      <w:tr w:rsidR="008A3D9C" w:rsidTr="00123998">
        <w:trPr>
          <w:trHeight w:hRule="exact" w:val="510"/>
        </w:trPr>
        <w:tc>
          <w:tcPr>
            <w:tcW w:w="4395" w:type="dxa"/>
            <w:gridSpan w:val="2"/>
            <w:vMerge/>
            <w:tcBorders>
              <w:bottom w:val="single" w:sz="4" w:space="0" w:color="808080"/>
            </w:tcBorders>
            <w:vAlign w:val="center"/>
            <w:hideMark/>
          </w:tcPr>
          <w:p w:rsidR="008A3D9C" w:rsidRDefault="008A3D9C" w:rsidP="0030467B">
            <w:pPr>
              <w:spacing w:after="0" w:line="240" w:lineRule="auto"/>
              <w:rPr>
                <w:rFonts w:ascii="Arial" w:hAnsi="Arial" w:cs="Arial"/>
                <w:b/>
                <w:bCs/>
                <w:color w:val="FFFFFF"/>
                <w:lang w:val="en-US"/>
              </w:rPr>
            </w:pPr>
          </w:p>
        </w:tc>
        <w:tc>
          <w:tcPr>
            <w:tcW w:w="795" w:type="dxa"/>
            <w:tcBorders>
              <w:bottom w:val="single" w:sz="4" w:space="0" w:color="808080"/>
            </w:tcBorders>
            <w:shd w:val="clear" w:color="auto" w:fill="FFFFFF"/>
            <w:vAlign w:val="center"/>
            <w:hideMark/>
          </w:tcPr>
          <w:p w:rsidR="008A3D9C" w:rsidRDefault="008A3D9C" w:rsidP="0030467B">
            <w:pPr>
              <w:spacing w:after="0" w:line="240" w:lineRule="auto"/>
              <w:jc w:val="center"/>
              <w:rPr>
                <w:rFonts w:ascii="Arial" w:hAnsi="Arial" w:cs="Arial"/>
                <w:lang w:val="en-US"/>
              </w:rPr>
            </w:pPr>
            <w:r>
              <w:rPr>
                <w:rFonts w:ascii="Arial" w:hAnsi="Arial" w:cs="Arial"/>
                <w:lang w:val="en-US"/>
              </w:rPr>
              <w:t>100%</w:t>
            </w:r>
          </w:p>
        </w:tc>
        <w:tc>
          <w:tcPr>
            <w:tcW w:w="992" w:type="dxa"/>
            <w:tcBorders>
              <w:bottom w:val="single" w:sz="4" w:space="0" w:color="808080"/>
            </w:tcBorders>
            <w:shd w:val="clear" w:color="auto" w:fill="FF0000"/>
            <w:vAlign w:val="center"/>
          </w:tcPr>
          <w:p w:rsidR="008A3D9C" w:rsidRPr="001A543B" w:rsidRDefault="008A3D9C" w:rsidP="0030467B">
            <w:pPr>
              <w:spacing w:after="0" w:line="240" w:lineRule="auto"/>
              <w:jc w:val="center"/>
              <w:rPr>
                <w:rFonts w:ascii="Arial" w:hAnsi="Arial" w:cs="Arial"/>
                <w:b/>
                <w:bCs/>
                <w:color w:val="FFFFFF"/>
                <w:lang w:val="en-US"/>
              </w:rPr>
            </w:pPr>
            <w:r>
              <w:rPr>
                <w:rFonts w:ascii="Arial" w:hAnsi="Arial" w:cs="Arial"/>
                <w:b/>
                <w:bCs/>
                <w:color w:val="FFFFFF"/>
                <w:lang w:val="en-US"/>
              </w:rPr>
              <w:t>97%</w:t>
            </w:r>
          </w:p>
        </w:tc>
        <w:tc>
          <w:tcPr>
            <w:tcW w:w="993" w:type="dxa"/>
            <w:tcBorders>
              <w:bottom w:val="single" w:sz="4" w:space="0" w:color="808080"/>
            </w:tcBorders>
            <w:shd w:val="clear" w:color="auto" w:fill="auto"/>
            <w:vAlign w:val="center"/>
          </w:tcPr>
          <w:p w:rsidR="008A3D9C" w:rsidRPr="008A3D9C" w:rsidRDefault="008A3D9C" w:rsidP="0030467B">
            <w:pPr>
              <w:spacing w:after="0" w:line="240" w:lineRule="auto"/>
              <w:jc w:val="center"/>
              <w:rPr>
                <w:rFonts w:ascii="Arial" w:hAnsi="Arial" w:cs="Arial"/>
                <w:b/>
                <w:bCs/>
                <w:color w:val="FFFFFF"/>
                <w:lang w:val="en-US"/>
              </w:rPr>
            </w:pPr>
            <w:r w:rsidRPr="008A3D9C">
              <w:rPr>
                <w:rFonts w:ascii="Arial" w:hAnsi="Arial" w:cs="Arial"/>
                <w:bCs/>
                <w:sz w:val="18"/>
                <w:lang w:val="en-US"/>
              </w:rPr>
              <w:t xml:space="preserve">N/A </w:t>
            </w:r>
            <w:r w:rsidRPr="008A3D9C">
              <w:rPr>
                <w:rFonts w:ascii="Arial" w:hAnsi="Arial" w:cs="Arial"/>
                <w:bCs/>
                <w:sz w:val="14"/>
                <w:lang w:val="en-US"/>
              </w:rPr>
              <w:t>(snapshot</w:t>
            </w:r>
            <w:r>
              <w:rPr>
                <w:rFonts w:ascii="Arial" w:hAnsi="Arial" w:cs="Arial"/>
                <w:bCs/>
                <w:sz w:val="14"/>
                <w:lang w:val="en-US"/>
              </w:rPr>
              <w:t>)</w:t>
            </w:r>
            <w:r>
              <w:rPr>
                <w:rFonts w:ascii="Arial" w:hAnsi="Arial" w:cs="Arial"/>
                <w:b/>
                <w:bCs/>
                <w:color w:val="FFFFFF"/>
                <w:lang w:val="en-US"/>
              </w:rPr>
              <w:t>)</w:t>
            </w:r>
          </w:p>
        </w:tc>
        <w:tc>
          <w:tcPr>
            <w:tcW w:w="2607" w:type="dxa"/>
            <w:tcBorders>
              <w:bottom w:val="single" w:sz="4" w:space="0" w:color="808080"/>
            </w:tcBorders>
            <w:shd w:val="clear" w:color="auto" w:fill="FFFFFF"/>
            <w:vAlign w:val="center"/>
            <w:hideMark/>
          </w:tcPr>
          <w:p w:rsidR="008A3D9C" w:rsidRDefault="008A3D9C" w:rsidP="0030467B">
            <w:pPr>
              <w:spacing w:after="0" w:line="240" w:lineRule="auto"/>
              <w:jc w:val="center"/>
              <w:rPr>
                <w:rFonts w:ascii="Arial" w:hAnsi="Arial" w:cs="Arial"/>
                <w:lang w:val="en-US"/>
              </w:rPr>
            </w:pPr>
            <w:r>
              <w:rPr>
                <w:noProof/>
                <w:lang w:eastAsia="en-GB"/>
              </w:rPr>
              <w:drawing>
                <wp:inline distT="0" distB="0" distL="0" distR="0" wp14:anchorId="67B7C232" wp14:editId="0FA1EB68">
                  <wp:extent cx="1593850" cy="222250"/>
                  <wp:effectExtent l="0" t="0" r="6350" b="6350"/>
                  <wp:docPr id="21"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0"/>
                          <pic:cNvPicPr>
                            <a:picLocks noChangeAspect="1"/>
                          </pic:cNvPicPr>
                        </pic:nvPicPr>
                        <pic:blipFill rotWithShape="1">
                          <a:blip r:embed="rId19"/>
                          <a:srcRect t="1" b="10097"/>
                          <a:stretch/>
                        </pic:blipFill>
                        <pic:spPr>
                          <a:xfrm>
                            <a:off x="0" y="0"/>
                            <a:ext cx="1600354" cy="223157"/>
                          </a:xfrm>
                          <a:prstGeom prst="rect">
                            <a:avLst/>
                          </a:prstGeom>
                        </pic:spPr>
                      </pic:pic>
                    </a:graphicData>
                  </a:graphic>
                </wp:inline>
              </w:drawing>
            </w:r>
          </w:p>
        </w:tc>
      </w:tr>
      <w:tr w:rsidR="009A2239" w:rsidTr="00123998">
        <w:trPr>
          <w:trHeight w:val="1015"/>
        </w:trPr>
        <w:tc>
          <w:tcPr>
            <w:tcW w:w="9782" w:type="dxa"/>
            <w:gridSpan w:val="6"/>
            <w:tcBorders>
              <w:top w:val="single" w:sz="4" w:space="0" w:color="808080"/>
            </w:tcBorders>
            <w:tcMar>
              <w:top w:w="0" w:type="dxa"/>
              <w:left w:w="108" w:type="dxa"/>
              <w:bottom w:w="0" w:type="dxa"/>
              <w:right w:w="108" w:type="dxa"/>
            </w:tcMar>
            <w:hideMark/>
          </w:tcPr>
          <w:p w:rsidR="009A2239" w:rsidRPr="008E708A" w:rsidRDefault="009A2239" w:rsidP="0030467B">
            <w:pPr>
              <w:spacing w:before="120" w:afterLines="40" w:after="96"/>
              <w:rPr>
                <w:rFonts w:ascii="Arial" w:hAnsi="Arial" w:cs="Arial"/>
                <w:b/>
                <w:bCs/>
                <w:sz w:val="24"/>
                <w:lang w:val="en-US" w:eastAsia="en-GB"/>
              </w:rPr>
            </w:pPr>
            <w:r w:rsidRPr="008E708A">
              <w:rPr>
                <w:rFonts w:ascii="Arial" w:hAnsi="Arial" w:cs="Arial"/>
                <w:b/>
                <w:bCs/>
                <w:sz w:val="24"/>
                <w:lang w:val="en-US" w:eastAsia="en-GB"/>
              </w:rPr>
              <w:t>Reason for non-compliance</w:t>
            </w:r>
          </w:p>
          <w:p w:rsidR="009A2239" w:rsidRPr="008E708A" w:rsidRDefault="009A2239" w:rsidP="0030467B">
            <w:pPr>
              <w:spacing w:before="120" w:afterLines="40" w:after="96"/>
              <w:jc w:val="both"/>
              <w:rPr>
                <w:rFonts w:ascii="Arial" w:hAnsi="Arial" w:cs="Arial"/>
                <w:sz w:val="24"/>
                <w:lang w:val="en-US" w:eastAsia="en-GB"/>
              </w:rPr>
            </w:pPr>
            <w:r w:rsidRPr="008E708A">
              <w:rPr>
                <w:rFonts w:ascii="Arial" w:hAnsi="Arial" w:cs="Arial"/>
                <w:sz w:val="24"/>
                <w:lang w:val="en-US" w:eastAsia="en-GB"/>
              </w:rPr>
              <w:t>Out of a total of 266 policies, eight were out of date at the end of May 2020, resulting in a compliance figure of 97%.</w:t>
            </w:r>
          </w:p>
          <w:p w:rsidR="009A2239" w:rsidRPr="008E708A" w:rsidRDefault="009A2239" w:rsidP="0030467B">
            <w:pPr>
              <w:spacing w:before="120" w:afterLines="40" w:after="96"/>
              <w:jc w:val="both"/>
              <w:rPr>
                <w:rFonts w:ascii="Arial" w:hAnsi="Arial" w:cs="Arial"/>
                <w:sz w:val="24"/>
                <w:lang w:val="en-US" w:eastAsia="en-GB"/>
              </w:rPr>
            </w:pPr>
            <w:r w:rsidRPr="008E708A">
              <w:rPr>
                <w:rFonts w:ascii="Arial" w:hAnsi="Arial" w:cs="Arial"/>
                <w:sz w:val="24"/>
                <w:lang w:val="en-US" w:eastAsia="en-GB"/>
              </w:rPr>
              <w:t>Reasons for non-compliance include added pressure on resource and capacity of Document Owners due to the Trust’s response to COVID-19 in addition to the ongoing CCC Liverpool Policy Review work stream.</w:t>
            </w:r>
          </w:p>
          <w:p w:rsidR="00E909D6" w:rsidRPr="008E708A" w:rsidRDefault="00E909D6" w:rsidP="00E909D6">
            <w:pPr>
              <w:spacing w:before="120" w:afterLines="40" w:after="96"/>
              <w:jc w:val="both"/>
              <w:rPr>
                <w:rFonts w:ascii="Arial" w:hAnsi="Arial" w:cs="Arial"/>
                <w:sz w:val="24"/>
                <w:lang w:val="en-US" w:eastAsia="en-GB"/>
              </w:rPr>
            </w:pPr>
            <w:r w:rsidRPr="008E708A">
              <w:rPr>
                <w:rFonts w:ascii="Arial" w:hAnsi="Arial" w:cs="Arial"/>
                <w:sz w:val="24"/>
                <w:lang w:val="en-US" w:eastAsia="en-GB"/>
              </w:rPr>
              <w:t>Of the eight policies out of date at the end of May, three of these policies are now in date (as at 9</w:t>
            </w:r>
            <w:r w:rsidRPr="008E708A">
              <w:rPr>
                <w:rFonts w:ascii="Arial" w:hAnsi="Arial" w:cs="Arial"/>
                <w:sz w:val="24"/>
                <w:vertAlign w:val="superscript"/>
                <w:lang w:val="en-US" w:eastAsia="en-GB"/>
              </w:rPr>
              <w:t>th</w:t>
            </w:r>
            <w:r w:rsidRPr="008E708A">
              <w:rPr>
                <w:rFonts w:ascii="Arial" w:hAnsi="Arial" w:cs="Arial"/>
                <w:sz w:val="24"/>
                <w:lang w:val="en-US" w:eastAsia="en-GB"/>
              </w:rPr>
              <w:t xml:space="preserve"> June 2020). Two of the remaining five policies are under review as part of the wider preparation for the opening of CCC Liverpool. </w:t>
            </w:r>
          </w:p>
          <w:p w:rsidR="009A2239" w:rsidRDefault="00DA1D5E" w:rsidP="00E909D6">
            <w:pPr>
              <w:jc w:val="both"/>
              <w:rPr>
                <w:rFonts w:ascii="Arial" w:hAnsi="Arial" w:cs="Arial"/>
                <w:sz w:val="24"/>
                <w:lang w:val="en-US" w:eastAsia="en-GB"/>
              </w:rPr>
            </w:pPr>
            <w:r>
              <w:rPr>
                <w:rFonts w:ascii="Arial" w:hAnsi="Arial" w:cs="Arial"/>
                <w:noProof/>
                <w:sz w:val="24"/>
                <w:lang w:eastAsia="en-GB"/>
              </w:rPr>
              <mc:AlternateContent>
                <mc:Choice Requires="wps">
                  <w:drawing>
                    <wp:anchor distT="0" distB="0" distL="114300" distR="114300" simplePos="0" relativeHeight="251659264" behindDoc="0" locked="0" layoutInCell="1" allowOverlap="1" wp14:anchorId="5919F23D" wp14:editId="536EFEA0">
                      <wp:simplePos x="0" y="0"/>
                      <wp:positionH relativeFrom="column">
                        <wp:posOffset>-63500</wp:posOffset>
                      </wp:positionH>
                      <wp:positionV relativeFrom="paragraph">
                        <wp:posOffset>666962</wp:posOffset>
                      </wp:positionV>
                      <wp:extent cx="6239933" cy="1"/>
                      <wp:effectExtent l="0" t="0" r="27940" b="19050"/>
                      <wp:wrapNone/>
                      <wp:docPr id="3" name="Straight Connector 3"/>
                      <wp:cNvGraphicFramePr/>
                      <a:graphic xmlns:a="http://schemas.openxmlformats.org/drawingml/2006/main">
                        <a:graphicData uri="http://schemas.microsoft.com/office/word/2010/wordprocessingShape">
                          <wps:wsp>
                            <wps:cNvCnPr/>
                            <wps:spPr>
                              <a:xfrm flipV="1">
                                <a:off x="0" y="0"/>
                                <a:ext cx="6239933" cy="1"/>
                              </a:xfrm>
                              <a:prstGeom prst="line">
                                <a:avLst/>
                              </a:prstGeom>
                              <a:ln>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pt,52.5pt" to="486.35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M8H6gEAADEEAAAOAAAAZHJzL2Uyb0RvYy54bWysU02P2yAQvVfqf0DcGzuJuupacfaQ1fbS&#10;j6i77Z1gsJGAQcDGzr/vAI67aqtKrerDyDPMvJn3GHZ3k9HkLHxQYFu6XtWUCMuhU7Zv6denhzfv&#10;KAmR2Y5psKKlFxHo3f71q93oGrGBAXQnPEEQG5rRtXSI0TVVFfggDAsrcMLioQRvWETX91Xn2Yjo&#10;Rlebur6pRvCd88BFCBi9L4d0n/GlFDx+ljKISHRLcbaYrc/2lGy137Gm98wNis9jsH+YwjBlsekC&#10;dc8iI89e/QJlFPcQQMYVB1OBlIqLzAHZrOuf2DwOzInMBcUJbpEp/D9Y/ul89ER1Ld1SYpnBK3qM&#10;nql+iOQA1qKA4Mk26TS60GD6wR797AV39In0JL0hUiv3DVcgy4DEyJRVviwqiykSjsGbzfb2dovt&#10;OJ6tE3JVIBKU8yG+F2BI+mmpVjYJwBp2/hBiSb2mpLC2yQbQqntQWmcnrY44aE/ODC/91JeJ9LP5&#10;CF2Jva3xmxvnTUvpeYwXSDhUQq8S7UI0/8WLFqXzFyFROCRUGixApQfjXNh4pactZqcyiVMuhXWm&#10;9sfCOT+VirzOf1O8VOTOYONSbJQF/7vucbqOLEv+VYHCO0lwgu6SVyBLg3uZlZvfUFr8l34u//HS&#10;998BAAD//wMAUEsDBBQABgAIAAAAIQDF6gME4AAAAAsBAAAPAAAAZHJzL2Rvd25yZXYueG1sTI/d&#10;SsNAEIXvBd9hGcGb0u42/lRjNkVEQagUbAVvt9k1Cc3Ohuy0zb69Iwh6NzPncOY7xXL0nTi6IbYB&#10;NcxnCoTDKtgWaw0f25fpHYhIBq3pAjoNyUVYludnhcltOOG7O26oFhyCMTcaGqI+lzJWjfMmzkLv&#10;kLWvMHhDvA61tIM5cbjvZKbUrfSmRf7QmN49Na7abw5eQ6TVZP36fDX5XO/TNkuJrt8SaX15MT4+&#10;gCA30p8ZfvAZHUpm2oUD2ig6DdO54i7EgrrhgR33i2wBYvd7kWUh/3covwEAAP//AwBQSwECLQAU&#10;AAYACAAAACEAtoM4kv4AAADhAQAAEwAAAAAAAAAAAAAAAAAAAAAAW0NvbnRlbnRfVHlwZXNdLnht&#10;bFBLAQItABQABgAIAAAAIQA4/SH/1gAAAJQBAAALAAAAAAAAAAAAAAAAAC8BAABfcmVscy8ucmVs&#10;c1BLAQItABQABgAIAAAAIQDpuM8H6gEAADEEAAAOAAAAAAAAAAAAAAAAAC4CAABkcnMvZTJvRG9j&#10;LnhtbFBLAQItABQABgAIAAAAIQDF6gME4AAAAAsBAAAPAAAAAAAAAAAAAAAAAEQEAABkcnMvZG93&#10;bnJldi54bWxQSwUGAAAAAAQABADzAAAAUQUAAAAA&#10;" strokecolor="#7f7f7f [1612]"/>
                  </w:pict>
                </mc:Fallback>
              </mc:AlternateContent>
            </w:r>
            <w:r w:rsidR="00E909D6" w:rsidRPr="008E708A">
              <w:rPr>
                <w:rFonts w:ascii="Arial" w:hAnsi="Arial" w:cs="Arial"/>
                <w:sz w:val="24"/>
                <w:lang w:val="en-US" w:eastAsia="en-GB"/>
              </w:rPr>
              <w:t>Of the three policies not under review as part of the wider preparation for the opening of CCC Liverpool, one policy is seven months out of date (finance related) and the other two are between one and two months out of date.</w:t>
            </w:r>
          </w:p>
          <w:p w:rsidR="00921FC8" w:rsidRDefault="00921FC8" w:rsidP="00DA1D5E">
            <w:pPr>
              <w:spacing w:after="0" w:line="240" w:lineRule="auto"/>
              <w:rPr>
                <w:rFonts w:ascii="Arial" w:hAnsi="Arial" w:cs="Arial"/>
                <w:b/>
                <w:bCs/>
                <w:sz w:val="24"/>
                <w:lang w:val="en-US" w:eastAsia="en-GB"/>
              </w:rPr>
            </w:pPr>
            <w:r w:rsidRPr="008E708A">
              <w:rPr>
                <w:rFonts w:ascii="Arial" w:hAnsi="Arial" w:cs="Arial"/>
                <w:b/>
                <w:bCs/>
                <w:sz w:val="24"/>
                <w:lang w:val="en-US" w:eastAsia="en-GB"/>
              </w:rPr>
              <w:t>Action taken to improve compliance</w:t>
            </w:r>
          </w:p>
          <w:p w:rsidR="00DA1D5E" w:rsidRPr="00DA1D5E" w:rsidRDefault="00DA1D5E" w:rsidP="00DA1D5E">
            <w:pPr>
              <w:spacing w:after="0" w:line="240" w:lineRule="auto"/>
              <w:rPr>
                <w:rFonts w:ascii="Arial" w:hAnsi="Arial" w:cs="Arial"/>
                <w:b/>
                <w:bCs/>
                <w:sz w:val="4"/>
                <w:szCs w:val="4"/>
                <w:lang w:val="en-US" w:eastAsia="en-GB"/>
              </w:rPr>
            </w:pPr>
          </w:p>
          <w:p w:rsidR="00921FC8" w:rsidRPr="008E708A" w:rsidRDefault="00921FC8" w:rsidP="00DA1D5E">
            <w:pPr>
              <w:spacing w:before="40" w:after="0" w:line="240" w:lineRule="auto"/>
              <w:rPr>
                <w:rFonts w:ascii="Arial" w:hAnsi="Arial" w:cs="Arial"/>
                <w:bCs/>
                <w:sz w:val="24"/>
                <w:lang w:val="en-US" w:eastAsia="en-GB"/>
              </w:rPr>
            </w:pPr>
            <w:r w:rsidRPr="008E708A">
              <w:rPr>
                <w:rFonts w:ascii="Arial" w:hAnsi="Arial" w:cs="Arial"/>
                <w:bCs/>
                <w:sz w:val="24"/>
                <w:lang w:val="en-US" w:eastAsia="en-GB"/>
              </w:rPr>
              <w:t xml:space="preserve">Established actions to improve compliance include: </w:t>
            </w:r>
          </w:p>
          <w:p w:rsidR="00921FC8" w:rsidRPr="008E708A" w:rsidRDefault="00921FC8" w:rsidP="00921FC8">
            <w:pPr>
              <w:pStyle w:val="ListParagraph"/>
              <w:numPr>
                <w:ilvl w:val="0"/>
                <w:numId w:val="5"/>
              </w:numPr>
              <w:spacing w:after="0"/>
              <w:ind w:left="318" w:hanging="284"/>
              <w:rPr>
                <w:rFonts w:ascii="Arial" w:hAnsi="Arial" w:cs="Arial"/>
                <w:bCs/>
                <w:sz w:val="24"/>
                <w:lang w:val="en-US" w:eastAsia="en-GB"/>
              </w:rPr>
            </w:pPr>
            <w:r w:rsidRPr="008E708A">
              <w:rPr>
                <w:rFonts w:ascii="Arial" w:hAnsi="Arial" w:cs="Arial"/>
                <w:bCs/>
                <w:sz w:val="24"/>
                <w:lang w:val="en-US" w:eastAsia="en-GB"/>
              </w:rPr>
              <w:t>Policy review reminders and instructions are sent to individual authors in advance of the review due dates.</w:t>
            </w:r>
          </w:p>
          <w:p w:rsidR="00921FC8" w:rsidRPr="008E708A" w:rsidRDefault="00921FC8" w:rsidP="00921FC8">
            <w:pPr>
              <w:pStyle w:val="ListParagraph"/>
              <w:numPr>
                <w:ilvl w:val="0"/>
                <w:numId w:val="5"/>
              </w:numPr>
              <w:spacing w:after="0"/>
              <w:ind w:left="318" w:hanging="284"/>
              <w:rPr>
                <w:rFonts w:ascii="Arial" w:hAnsi="Arial" w:cs="Arial"/>
                <w:bCs/>
                <w:sz w:val="24"/>
                <w:lang w:val="en-US" w:eastAsia="en-GB"/>
              </w:rPr>
            </w:pPr>
            <w:r w:rsidRPr="008E708A">
              <w:rPr>
                <w:rFonts w:ascii="Arial" w:hAnsi="Arial" w:cs="Arial"/>
                <w:bCs/>
                <w:sz w:val="24"/>
                <w:lang w:val="en-US" w:eastAsia="en-GB"/>
              </w:rPr>
              <w:t>Regular “chaser” emails are sent to Document Owners.</w:t>
            </w:r>
          </w:p>
          <w:p w:rsidR="00921FC8" w:rsidRPr="008E708A" w:rsidRDefault="00921FC8" w:rsidP="00921FC8">
            <w:pPr>
              <w:pStyle w:val="ListParagraph"/>
              <w:numPr>
                <w:ilvl w:val="0"/>
                <w:numId w:val="5"/>
              </w:numPr>
              <w:spacing w:after="0"/>
              <w:ind w:left="318" w:hanging="284"/>
              <w:jc w:val="both"/>
              <w:rPr>
                <w:rFonts w:ascii="Arial" w:hAnsi="Arial" w:cs="Arial"/>
                <w:sz w:val="24"/>
              </w:rPr>
            </w:pPr>
            <w:r w:rsidRPr="008E708A">
              <w:rPr>
                <w:rFonts w:ascii="Arial" w:hAnsi="Arial" w:cs="Arial"/>
                <w:sz w:val="24"/>
              </w:rPr>
              <w:t>Out of date policy information is provided for review at monthly Directorate meetings.</w:t>
            </w:r>
          </w:p>
          <w:p w:rsidR="00921FC8" w:rsidRPr="008E708A" w:rsidRDefault="00921FC8" w:rsidP="00921FC8">
            <w:pPr>
              <w:pStyle w:val="ListParagraph"/>
              <w:numPr>
                <w:ilvl w:val="0"/>
                <w:numId w:val="5"/>
              </w:numPr>
              <w:spacing w:after="0"/>
              <w:ind w:left="318" w:hanging="284"/>
              <w:rPr>
                <w:rFonts w:ascii="Arial" w:hAnsi="Arial" w:cs="Arial"/>
                <w:sz w:val="24"/>
              </w:rPr>
            </w:pPr>
            <w:r w:rsidRPr="008E708A">
              <w:rPr>
                <w:rFonts w:ascii="Arial" w:hAnsi="Arial" w:cs="Arial"/>
                <w:sz w:val="24"/>
              </w:rPr>
              <w:t>Bi-monthly Document Control update reports are tabled at the Information Governance Board.</w:t>
            </w:r>
          </w:p>
          <w:p w:rsidR="00C549B2" w:rsidRPr="00C549B2" w:rsidRDefault="00C549B2" w:rsidP="00C549B2">
            <w:pPr>
              <w:spacing w:after="0" w:line="240" w:lineRule="auto"/>
              <w:rPr>
                <w:rFonts w:ascii="Arial" w:hAnsi="Arial" w:cs="Arial"/>
                <w:b/>
                <w:bCs/>
                <w:sz w:val="12"/>
                <w:szCs w:val="12"/>
                <w:lang w:val="en-US" w:eastAsia="en-GB"/>
              </w:rPr>
            </w:pPr>
          </w:p>
          <w:p w:rsidR="00C549B2" w:rsidRDefault="00C549B2" w:rsidP="00C549B2">
            <w:pPr>
              <w:spacing w:after="0" w:line="240" w:lineRule="auto"/>
              <w:rPr>
                <w:rFonts w:ascii="Arial" w:hAnsi="Arial" w:cs="Arial"/>
                <w:b/>
                <w:bCs/>
                <w:sz w:val="24"/>
                <w:lang w:val="en-US" w:eastAsia="en-GB"/>
              </w:rPr>
            </w:pPr>
            <w:r w:rsidRPr="00C549B2">
              <w:rPr>
                <w:rFonts w:ascii="Arial" w:hAnsi="Arial" w:cs="Arial"/>
                <w:b/>
                <w:bCs/>
                <w:sz w:val="24"/>
                <w:lang w:val="en-US" w:eastAsia="en-GB"/>
              </w:rPr>
              <w:t>New actions to improve compliance include:</w:t>
            </w:r>
          </w:p>
          <w:p w:rsidR="00C549B2" w:rsidRPr="00DA1D5E" w:rsidRDefault="00C549B2" w:rsidP="00C549B2">
            <w:pPr>
              <w:spacing w:after="0" w:line="240" w:lineRule="auto"/>
              <w:rPr>
                <w:rFonts w:ascii="Arial" w:hAnsi="Arial" w:cs="Arial"/>
                <w:b/>
                <w:bCs/>
                <w:sz w:val="6"/>
                <w:szCs w:val="6"/>
                <w:lang w:val="en-US" w:eastAsia="en-GB"/>
              </w:rPr>
            </w:pPr>
          </w:p>
          <w:p w:rsidR="00C549B2" w:rsidRPr="008E708A" w:rsidRDefault="00C549B2" w:rsidP="00C549B2">
            <w:pPr>
              <w:pStyle w:val="ListParagraph"/>
              <w:numPr>
                <w:ilvl w:val="0"/>
                <w:numId w:val="5"/>
              </w:numPr>
              <w:spacing w:after="0"/>
              <w:ind w:left="318" w:hanging="284"/>
              <w:rPr>
                <w:rFonts w:ascii="Arial" w:hAnsi="Arial" w:cs="Arial"/>
                <w:bCs/>
                <w:sz w:val="24"/>
                <w:lang w:val="en-US" w:eastAsia="en-GB"/>
              </w:rPr>
            </w:pPr>
            <w:r w:rsidRPr="008E708A">
              <w:rPr>
                <w:rFonts w:ascii="Arial" w:hAnsi="Arial" w:cs="Arial"/>
                <w:bCs/>
                <w:sz w:val="24"/>
                <w:lang w:val="en-US" w:eastAsia="en-GB"/>
              </w:rPr>
              <w:t>Promotion of policy self-management with Document Owners – ongoing.</w:t>
            </w:r>
          </w:p>
          <w:p w:rsidR="00C549B2" w:rsidRPr="008E708A" w:rsidRDefault="00C549B2" w:rsidP="00C549B2">
            <w:pPr>
              <w:pStyle w:val="ListParagraph"/>
              <w:numPr>
                <w:ilvl w:val="0"/>
                <w:numId w:val="5"/>
              </w:numPr>
              <w:spacing w:after="0"/>
              <w:ind w:left="318" w:hanging="284"/>
              <w:rPr>
                <w:rFonts w:ascii="Arial" w:hAnsi="Arial" w:cs="Arial"/>
                <w:bCs/>
                <w:sz w:val="24"/>
                <w:lang w:val="en-US" w:eastAsia="en-GB"/>
              </w:rPr>
            </w:pPr>
            <w:r w:rsidRPr="008E708A">
              <w:rPr>
                <w:rFonts w:ascii="Arial" w:hAnsi="Arial" w:cs="Arial"/>
                <w:bCs/>
                <w:sz w:val="24"/>
                <w:lang w:val="en-US" w:eastAsia="en-GB"/>
              </w:rPr>
              <w:t>Targeted meetings being held between Information Governance staff and Document Owners – ongoing.</w:t>
            </w:r>
          </w:p>
          <w:p w:rsidR="00921FC8" w:rsidRPr="008E708A" w:rsidRDefault="00DA1D5E" w:rsidP="00DA1D5E">
            <w:pPr>
              <w:pStyle w:val="ListParagraph"/>
              <w:numPr>
                <w:ilvl w:val="0"/>
                <w:numId w:val="5"/>
              </w:numPr>
              <w:spacing w:after="0"/>
              <w:ind w:left="318" w:hanging="284"/>
              <w:rPr>
                <w:rFonts w:ascii="Arial" w:hAnsi="Arial" w:cs="Arial"/>
                <w:sz w:val="24"/>
                <w:lang w:val="en-US" w:eastAsia="en-GB"/>
              </w:rPr>
            </w:pPr>
            <w:r w:rsidRPr="008E708A">
              <w:rPr>
                <w:rFonts w:ascii="Arial" w:hAnsi="Arial" w:cs="Arial"/>
                <w:bCs/>
                <w:sz w:val="24"/>
                <w:lang w:val="en-US" w:eastAsia="en-GB"/>
              </w:rPr>
              <w:t xml:space="preserve">Undertake comprehensive training/overview of QPulse functionality with Ideagen to investigate greater use of automation e.g. policy review reminders to Document </w:t>
            </w:r>
            <w:r w:rsidRPr="008E708A">
              <w:rPr>
                <w:rFonts w:ascii="Arial" w:hAnsi="Arial" w:cs="Arial"/>
                <w:bCs/>
                <w:sz w:val="24"/>
                <w:lang w:val="en-US" w:eastAsia="en-GB"/>
              </w:rPr>
              <w:lastRenderedPageBreak/>
              <w:t>Owners – Initial training cancelled April 2020 due to COVID-19 to reschedule for remote delivery by end of July 2020.</w:t>
            </w:r>
          </w:p>
        </w:tc>
      </w:tr>
      <w:tr w:rsidR="009A2239" w:rsidTr="00123998">
        <w:trPr>
          <w:trHeight w:val="693"/>
        </w:trPr>
        <w:tc>
          <w:tcPr>
            <w:tcW w:w="9782" w:type="dxa"/>
            <w:gridSpan w:val="6"/>
            <w:tcMar>
              <w:top w:w="0" w:type="dxa"/>
              <w:left w:w="108" w:type="dxa"/>
              <w:bottom w:w="0" w:type="dxa"/>
              <w:right w:w="108" w:type="dxa"/>
            </w:tcMar>
            <w:hideMark/>
          </w:tcPr>
          <w:p w:rsidR="009A2239" w:rsidRPr="008E708A" w:rsidRDefault="009A2239" w:rsidP="001E6D19">
            <w:pPr>
              <w:pStyle w:val="ListParagraph"/>
              <w:numPr>
                <w:ilvl w:val="0"/>
                <w:numId w:val="5"/>
              </w:numPr>
              <w:spacing w:after="0"/>
              <w:ind w:left="318" w:hanging="284"/>
              <w:rPr>
                <w:rFonts w:ascii="Arial" w:hAnsi="Arial" w:cs="Arial"/>
                <w:bCs/>
                <w:sz w:val="24"/>
                <w:lang w:val="en-US" w:eastAsia="en-GB"/>
              </w:rPr>
            </w:pPr>
            <w:r w:rsidRPr="008E708A">
              <w:rPr>
                <w:rFonts w:ascii="Arial" w:hAnsi="Arial" w:cs="Arial"/>
                <w:bCs/>
                <w:sz w:val="24"/>
                <w:lang w:val="en-US" w:eastAsia="en-GB"/>
              </w:rPr>
              <w:lastRenderedPageBreak/>
              <w:t>Undertake comprehensive review and update of Document Control Policy – by end of Quarter 2 2020.</w:t>
            </w:r>
          </w:p>
        </w:tc>
      </w:tr>
      <w:tr w:rsidR="009A2239" w:rsidTr="00123998">
        <w:trPr>
          <w:trHeight w:hRule="exact" w:val="425"/>
        </w:trPr>
        <w:tc>
          <w:tcPr>
            <w:tcW w:w="3545" w:type="dxa"/>
            <w:tcMar>
              <w:top w:w="0" w:type="dxa"/>
              <w:left w:w="108" w:type="dxa"/>
              <w:bottom w:w="0" w:type="dxa"/>
              <w:right w:w="108" w:type="dxa"/>
            </w:tcMar>
            <w:vAlign w:val="center"/>
            <w:hideMark/>
          </w:tcPr>
          <w:p w:rsidR="009A2239" w:rsidRPr="008E708A" w:rsidRDefault="009A2239" w:rsidP="0030467B">
            <w:pPr>
              <w:spacing w:before="60" w:after="60"/>
              <w:rPr>
                <w:rFonts w:ascii="Arial" w:hAnsi="Arial" w:cs="Arial"/>
                <w:b/>
                <w:bCs/>
                <w:sz w:val="24"/>
                <w:lang w:val="en-US" w:eastAsia="en-GB"/>
              </w:rPr>
            </w:pPr>
            <w:r w:rsidRPr="008E708A">
              <w:rPr>
                <w:rFonts w:ascii="Arial" w:hAnsi="Arial" w:cs="Arial"/>
                <w:b/>
                <w:bCs/>
                <w:sz w:val="24"/>
                <w:lang w:val="en-US" w:eastAsia="en-GB"/>
              </w:rPr>
              <w:t>Expected date of compliance</w:t>
            </w:r>
          </w:p>
        </w:tc>
        <w:tc>
          <w:tcPr>
            <w:tcW w:w="6237" w:type="dxa"/>
            <w:gridSpan w:val="5"/>
            <w:tcMar>
              <w:top w:w="0" w:type="dxa"/>
              <w:left w:w="108" w:type="dxa"/>
              <w:bottom w:w="0" w:type="dxa"/>
              <w:right w:w="108" w:type="dxa"/>
            </w:tcMar>
            <w:vAlign w:val="center"/>
          </w:tcPr>
          <w:p w:rsidR="009A2239" w:rsidRPr="008E708A" w:rsidRDefault="00F2489E" w:rsidP="00F2489E">
            <w:pPr>
              <w:spacing w:before="60" w:after="60"/>
              <w:rPr>
                <w:rFonts w:ascii="Arial" w:hAnsi="Arial" w:cs="Arial"/>
                <w:sz w:val="24"/>
                <w:lang w:val="en-US"/>
              </w:rPr>
            </w:pPr>
            <w:r w:rsidRPr="008E708A">
              <w:rPr>
                <w:rFonts w:ascii="Arial" w:hAnsi="Arial" w:cs="Arial"/>
                <w:sz w:val="24"/>
                <w:lang w:val="en-US"/>
              </w:rPr>
              <w:t>31/7/</w:t>
            </w:r>
            <w:r w:rsidR="009A2239" w:rsidRPr="008E708A">
              <w:rPr>
                <w:rFonts w:ascii="Arial" w:hAnsi="Arial" w:cs="Arial"/>
                <w:sz w:val="24"/>
                <w:lang w:val="en-US"/>
              </w:rPr>
              <w:t xml:space="preserve">2020 </w:t>
            </w:r>
          </w:p>
        </w:tc>
      </w:tr>
      <w:tr w:rsidR="009A2239" w:rsidTr="00123998">
        <w:trPr>
          <w:trHeight w:hRule="exact" w:val="1065"/>
        </w:trPr>
        <w:tc>
          <w:tcPr>
            <w:tcW w:w="3545" w:type="dxa"/>
            <w:tcMar>
              <w:top w:w="0" w:type="dxa"/>
              <w:left w:w="108" w:type="dxa"/>
              <w:bottom w:w="0" w:type="dxa"/>
              <w:right w:w="108" w:type="dxa"/>
            </w:tcMar>
            <w:vAlign w:val="center"/>
            <w:hideMark/>
          </w:tcPr>
          <w:p w:rsidR="009A2239" w:rsidRPr="008E708A" w:rsidRDefault="009A2239" w:rsidP="0030467B">
            <w:pPr>
              <w:spacing w:before="60" w:after="60"/>
              <w:rPr>
                <w:rFonts w:ascii="Arial" w:hAnsi="Arial" w:cs="Arial"/>
                <w:b/>
                <w:bCs/>
                <w:sz w:val="24"/>
                <w:lang w:val="en-US" w:eastAsia="en-GB"/>
              </w:rPr>
            </w:pPr>
            <w:r w:rsidRPr="008E708A">
              <w:rPr>
                <w:rFonts w:ascii="Arial" w:hAnsi="Arial" w:cs="Arial"/>
                <w:b/>
                <w:bCs/>
                <w:sz w:val="24"/>
                <w:lang w:val="en-US" w:eastAsia="en-GB"/>
              </w:rPr>
              <w:t>Escalation route</w:t>
            </w:r>
          </w:p>
        </w:tc>
        <w:tc>
          <w:tcPr>
            <w:tcW w:w="6237" w:type="dxa"/>
            <w:gridSpan w:val="5"/>
            <w:tcMar>
              <w:top w:w="0" w:type="dxa"/>
              <w:left w:w="108" w:type="dxa"/>
              <w:bottom w:w="0" w:type="dxa"/>
              <w:right w:w="108" w:type="dxa"/>
            </w:tcMar>
            <w:vAlign w:val="center"/>
          </w:tcPr>
          <w:p w:rsidR="00921FC8" w:rsidRDefault="009A2239" w:rsidP="0030467B">
            <w:pPr>
              <w:spacing w:before="60" w:after="60"/>
              <w:rPr>
                <w:rFonts w:ascii="Arial" w:hAnsi="Arial" w:cs="Arial"/>
                <w:color w:val="000000"/>
                <w:sz w:val="24"/>
                <w:lang w:val="en-US" w:eastAsia="en-GB"/>
              </w:rPr>
            </w:pPr>
            <w:r w:rsidRPr="008E708A">
              <w:rPr>
                <w:rFonts w:ascii="Arial" w:hAnsi="Arial" w:cs="Arial"/>
                <w:color w:val="000000"/>
                <w:sz w:val="24"/>
                <w:lang w:val="en-US" w:eastAsia="en-GB"/>
              </w:rPr>
              <w:t xml:space="preserve">Associate Director of Corporate </w:t>
            </w:r>
            <w:r w:rsidR="00921FC8">
              <w:rPr>
                <w:rFonts w:ascii="Arial" w:hAnsi="Arial" w:cs="Arial"/>
                <w:color w:val="000000"/>
                <w:sz w:val="24"/>
                <w:lang w:val="en-US" w:eastAsia="en-GB"/>
              </w:rPr>
              <w:t>G</w:t>
            </w:r>
            <w:r w:rsidRPr="008E708A">
              <w:rPr>
                <w:rFonts w:ascii="Arial" w:hAnsi="Arial" w:cs="Arial"/>
                <w:color w:val="000000"/>
                <w:sz w:val="24"/>
                <w:lang w:val="en-US" w:eastAsia="en-GB"/>
              </w:rPr>
              <w:t>overnance/</w:t>
            </w:r>
            <w:r w:rsidR="00921FC8">
              <w:rPr>
                <w:rFonts w:ascii="Arial" w:hAnsi="Arial" w:cs="Arial"/>
                <w:color w:val="000000"/>
                <w:sz w:val="24"/>
                <w:lang w:val="en-US" w:eastAsia="en-GB"/>
              </w:rPr>
              <w:t xml:space="preserve"> </w:t>
            </w:r>
            <w:r w:rsidRPr="008E708A">
              <w:rPr>
                <w:rFonts w:ascii="Arial" w:hAnsi="Arial" w:cs="Arial"/>
                <w:color w:val="000000"/>
                <w:sz w:val="24"/>
                <w:lang w:val="en-US" w:eastAsia="en-GB"/>
              </w:rPr>
              <w:t>Information Governance Board/</w:t>
            </w:r>
          </w:p>
          <w:p w:rsidR="009A2239" w:rsidRPr="008E708A" w:rsidRDefault="009A2239" w:rsidP="0030467B">
            <w:pPr>
              <w:spacing w:before="60" w:after="60"/>
              <w:rPr>
                <w:rFonts w:ascii="Arial" w:hAnsi="Arial" w:cs="Arial"/>
                <w:color w:val="000000"/>
                <w:sz w:val="24"/>
                <w:lang w:val="en-US" w:eastAsia="en-GB"/>
              </w:rPr>
            </w:pPr>
            <w:r w:rsidRPr="008E708A">
              <w:rPr>
                <w:rFonts w:ascii="Arial" w:hAnsi="Arial" w:cs="Arial"/>
                <w:color w:val="000000"/>
                <w:sz w:val="24"/>
                <w:lang w:val="en-US" w:eastAsia="en-GB"/>
              </w:rPr>
              <w:t xml:space="preserve">Integrated Governance Committee/ </w:t>
            </w:r>
            <w:r w:rsidRPr="008E708A">
              <w:rPr>
                <w:rFonts w:ascii="Arial" w:hAnsi="Arial" w:cs="Arial"/>
                <w:color w:val="000000"/>
                <w:sz w:val="24"/>
                <w:lang w:val="en-US" w:eastAsia="en-GB"/>
              </w:rPr>
              <w:br/>
              <w:t>Quality Committee/</w:t>
            </w:r>
            <w:r w:rsidR="008A3D9C" w:rsidRPr="008E708A">
              <w:rPr>
                <w:rFonts w:ascii="Arial" w:hAnsi="Arial" w:cs="Arial"/>
                <w:sz w:val="24"/>
                <w:szCs w:val="20"/>
                <w:lang w:val="en-US" w:eastAsia="en-GB"/>
              </w:rPr>
              <w:t xml:space="preserve"> Board of Directors</w:t>
            </w:r>
          </w:p>
        </w:tc>
      </w:tr>
      <w:tr w:rsidR="009A2239" w:rsidTr="00123998">
        <w:trPr>
          <w:trHeight w:hRule="exact" w:val="425"/>
        </w:trPr>
        <w:tc>
          <w:tcPr>
            <w:tcW w:w="3545" w:type="dxa"/>
            <w:tcMar>
              <w:top w:w="0" w:type="dxa"/>
              <w:left w:w="108" w:type="dxa"/>
              <w:bottom w:w="0" w:type="dxa"/>
              <w:right w:w="108" w:type="dxa"/>
            </w:tcMar>
            <w:vAlign w:val="center"/>
            <w:hideMark/>
          </w:tcPr>
          <w:p w:rsidR="009A2239" w:rsidRPr="008E708A" w:rsidRDefault="009A2239" w:rsidP="0030467B">
            <w:pPr>
              <w:spacing w:before="60" w:after="60"/>
              <w:rPr>
                <w:rFonts w:ascii="Arial" w:hAnsi="Arial" w:cs="Arial"/>
                <w:b/>
                <w:bCs/>
                <w:sz w:val="24"/>
                <w:lang w:val="en-US" w:eastAsia="en-GB"/>
              </w:rPr>
            </w:pPr>
            <w:r w:rsidRPr="008E708A">
              <w:rPr>
                <w:rFonts w:ascii="Arial" w:hAnsi="Arial" w:cs="Arial"/>
                <w:b/>
                <w:bCs/>
                <w:sz w:val="24"/>
                <w:lang w:val="en-US" w:eastAsia="en-GB"/>
              </w:rPr>
              <w:t>Executive Lead</w:t>
            </w:r>
          </w:p>
        </w:tc>
        <w:tc>
          <w:tcPr>
            <w:tcW w:w="6237" w:type="dxa"/>
            <w:gridSpan w:val="5"/>
            <w:tcMar>
              <w:top w:w="0" w:type="dxa"/>
              <w:left w:w="108" w:type="dxa"/>
              <w:bottom w:w="0" w:type="dxa"/>
              <w:right w:w="108" w:type="dxa"/>
            </w:tcMar>
            <w:vAlign w:val="center"/>
            <w:hideMark/>
          </w:tcPr>
          <w:p w:rsidR="009A2239" w:rsidRPr="008E708A" w:rsidRDefault="009A2239" w:rsidP="0030467B">
            <w:pPr>
              <w:spacing w:before="60" w:after="60"/>
              <w:rPr>
                <w:rFonts w:ascii="Arial" w:hAnsi="Arial" w:cs="Arial"/>
                <w:color w:val="000000"/>
                <w:sz w:val="24"/>
                <w:highlight w:val="yellow"/>
                <w:lang w:val="en-US" w:eastAsia="en-GB"/>
              </w:rPr>
            </w:pPr>
            <w:r w:rsidRPr="008E708A">
              <w:rPr>
                <w:rFonts w:ascii="Arial" w:hAnsi="Arial" w:cs="Arial"/>
                <w:color w:val="000000"/>
                <w:sz w:val="24"/>
                <w:lang w:val="en-US" w:eastAsia="en-GB"/>
              </w:rPr>
              <w:t>Liz Bishop, Chief Executive</w:t>
            </w:r>
          </w:p>
        </w:tc>
      </w:tr>
    </w:tbl>
    <w:p w:rsidR="00693C54" w:rsidRDefault="00693C54" w:rsidP="00DA1D5E">
      <w:pPr>
        <w:spacing w:after="0"/>
        <w:rPr>
          <w:rFonts w:ascii="Arial" w:eastAsia="Calibri" w:hAnsi="Arial" w:cs="Arial"/>
          <w:b/>
          <w:bCs/>
          <w:sz w:val="24"/>
          <w:szCs w:val="24"/>
          <w:highlight w:val="yellow"/>
        </w:rPr>
      </w:pPr>
    </w:p>
    <w:p w:rsidR="0032260B" w:rsidRDefault="0032260B" w:rsidP="00E309FF">
      <w:pPr>
        <w:rPr>
          <w:rFonts w:ascii="Arial" w:eastAsia="Calibri" w:hAnsi="Arial" w:cs="Arial"/>
          <w:b/>
          <w:bCs/>
          <w:sz w:val="24"/>
          <w:szCs w:val="24"/>
          <w:highlight w:val="yellow"/>
        </w:rPr>
      </w:pPr>
    </w:p>
    <w:p w:rsidR="00AC7B50" w:rsidRPr="00EB4699" w:rsidRDefault="00C619C0" w:rsidP="00693C54">
      <w:pPr>
        <w:ind w:left="-426"/>
        <w:rPr>
          <w:rFonts w:ascii="Arial" w:eastAsia="Calibri" w:hAnsi="Arial" w:cs="Arial"/>
          <w:b/>
          <w:bCs/>
          <w:sz w:val="32"/>
          <w:szCs w:val="24"/>
        </w:rPr>
      </w:pPr>
      <w:r w:rsidRPr="00EB4699">
        <w:rPr>
          <w:rFonts w:ascii="Arial" w:eastAsia="Calibri" w:hAnsi="Arial" w:cs="Arial"/>
          <w:b/>
          <w:bCs/>
          <w:sz w:val="32"/>
          <w:szCs w:val="24"/>
        </w:rPr>
        <w:t xml:space="preserve">2.4 </w:t>
      </w:r>
      <w:r w:rsidR="00364A33" w:rsidRPr="00EB4699">
        <w:rPr>
          <w:rFonts w:ascii="Arial" w:eastAsia="Calibri" w:hAnsi="Arial" w:cs="Arial"/>
          <w:b/>
          <w:bCs/>
          <w:sz w:val="32"/>
          <w:szCs w:val="24"/>
        </w:rPr>
        <w:t>R</w:t>
      </w:r>
      <w:r w:rsidR="00AC7B50" w:rsidRPr="00EB4699">
        <w:rPr>
          <w:rFonts w:ascii="Arial" w:eastAsia="Calibri" w:hAnsi="Arial" w:cs="Arial"/>
          <w:b/>
          <w:bCs/>
          <w:sz w:val="32"/>
          <w:szCs w:val="24"/>
        </w:rPr>
        <w:t>esearch and Innovation</w:t>
      </w:r>
    </w:p>
    <w:p w:rsidR="00E237DF" w:rsidRPr="00EB4699" w:rsidRDefault="00C619C0" w:rsidP="00DA1D5E">
      <w:pPr>
        <w:spacing w:after="0" w:line="240" w:lineRule="auto"/>
        <w:ind w:left="142"/>
        <w:jc w:val="both"/>
        <w:rPr>
          <w:rFonts w:ascii="Arial" w:hAnsi="Arial" w:cs="Arial"/>
          <w:noProof/>
          <w:lang w:eastAsia="en-GB"/>
        </w:rPr>
      </w:pPr>
      <w:r w:rsidRPr="00EB4699">
        <w:rPr>
          <w:rFonts w:ascii="Arial" w:hAnsi="Arial" w:cs="Arial"/>
          <w:noProof/>
          <w:lang w:eastAsia="en-GB"/>
        </w:rPr>
        <w:t>There are no excep</w:t>
      </w:r>
      <w:r w:rsidR="00421C11" w:rsidRPr="00EB4699">
        <w:rPr>
          <w:rFonts w:ascii="Arial" w:hAnsi="Arial" w:cs="Arial"/>
          <w:noProof/>
          <w:lang w:eastAsia="en-GB"/>
        </w:rPr>
        <w:t>tion reports for Research and I</w:t>
      </w:r>
      <w:r w:rsidR="008A3D9C">
        <w:rPr>
          <w:rFonts w:ascii="Arial" w:hAnsi="Arial" w:cs="Arial"/>
          <w:noProof/>
          <w:lang w:eastAsia="en-GB"/>
        </w:rPr>
        <w:t>nnovation in month 2</w:t>
      </w:r>
      <w:r w:rsidRPr="00EB4699">
        <w:rPr>
          <w:rFonts w:ascii="Arial" w:hAnsi="Arial" w:cs="Arial"/>
          <w:noProof/>
          <w:lang w:eastAsia="en-GB"/>
        </w:rPr>
        <w:t>.</w:t>
      </w:r>
      <w:r w:rsidR="008A3D9C">
        <w:rPr>
          <w:rFonts w:ascii="Arial" w:hAnsi="Arial" w:cs="Arial"/>
          <w:noProof/>
          <w:lang w:eastAsia="en-GB"/>
        </w:rPr>
        <w:t xml:space="preserve"> Targets have not yet been agreed for 2020/21 due to COVID-19 as explained in section 3.4</w:t>
      </w:r>
    </w:p>
    <w:p w:rsidR="00996AC3" w:rsidRPr="00DA1D5E" w:rsidRDefault="00996AC3" w:rsidP="00693C54">
      <w:pPr>
        <w:spacing w:after="0" w:line="240" w:lineRule="auto"/>
        <w:ind w:left="-426"/>
        <w:jc w:val="both"/>
        <w:rPr>
          <w:rFonts w:ascii="Arial" w:hAnsi="Arial" w:cs="Arial"/>
          <w:noProof/>
          <w:sz w:val="28"/>
          <w:szCs w:val="28"/>
          <w:highlight w:val="yellow"/>
          <w:lang w:eastAsia="en-GB"/>
        </w:rPr>
      </w:pPr>
    </w:p>
    <w:p w:rsidR="00921FC8" w:rsidRPr="00DA1D5E" w:rsidRDefault="00921FC8" w:rsidP="00693C54">
      <w:pPr>
        <w:spacing w:after="0" w:line="240" w:lineRule="auto"/>
        <w:ind w:left="-426"/>
        <w:jc w:val="both"/>
        <w:rPr>
          <w:rFonts w:ascii="Arial" w:hAnsi="Arial" w:cs="Arial"/>
          <w:noProof/>
          <w:sz w:val="28"/>
          <w:szCs w:val="28"/>
          <w:highlight w:val="yellow"/>
          <w:lang w:eastAsia="en-GB"/>
        </w:rPr>
      </w:pPr>
    </w:p>
    <w:p w:rsidR="001F47AC" w:rsidRPr="00AC7BB5" w:rsidRDefault="00C619C0" w:rsidP="00E530D7">
      <w:pPr>
        <w:autoSpaceDE w:val="0"/>
        <w:autoSpaceDN w:val="0"/>
        <w:adjustRightInd w:val="0"/>
        <w:spacing w:after="0" w:line="240" w:lineRule="auto"/>
        <w:ind w:left="-426"/>
        <w:jc w:val="both"/>
        <w:rPr>
          <w:rFonts w:ascii="Arial" w:eastAsia="Calibri" w:hAnsi="Arial" w:cs="Arial"/>
          <w:b/>
          <w:bCs/>
          <w:sz w:val="32"/>
          <w:szCs w:val="24"/>
        </w:rPr>
      </w:pPr>
      <w:r w:rsidRPr="00AC7BB5">
        <w:rPr>
          <w:rFonts w:ascii="Arial" w:eastAsia="Calibri" w:hAnsi="Arial" w:cs="Arial"/>
          <w:b/>
          <w:bCs/>
          <w:sz w:val="32"/>
          <w:szCs w:val="24"/>
        </w:rPr>
        <w:t>2.5</w:t>
      </w:r>
      <w:r w:rsidR="00097A70" w:rsidRPr="00AC7BB5">
        <w:rPr>
          <w:rFonts w:ascii="Arial" w:eastAsia="Calibri" w:hAnsi="Arial" w:cs="Arial"/>
          <w:b/>
          <w:bCs/>
          <w:sz w:val="32"/>
          <w:szCs w:val="24"/>
        </w:rPr>
        <w:t xml:space="preserve"> </w:t>
      </w:r>
      <w:r w:rsidR="001F47AC" w:rsidRPr="00AC7BB5">
        <w:rPr>
          <w:rFonts w:ascii="Arial" w:eastAsia="Calibri" w:hAnsi="Arial" w:cs="Arial"/>
          <w:b/>
          <w:bCs/>
          <w:sz w:val="32"/>
          <w:szCs w:val="24"/>
        </w:rPr>
        <w:t>Workforce</w:t>
      </w:r>
    </w:p>
    <w:p w:rsidR="00A7587B" w:rsidRDefault="00A7587B" w:rsidP="00A7587B">
      <w:pPr>
        <w:spacing w:after="0" w:line="240" w:lineRule="auto"/>
        <w:jc w:val="both"/>
        <w:rPr>
          <w:rFonts w:ascii="Arial" w:eastAsia="Calibri" w:hAnsi="Arial" w:cs="Arial"/>
          <w:b/>
          <w:bCs/>
          <w:sz w:val="32"/>
          <w:szCs w:val="24"/>
          <w:highlight w:val="yellow"/>
        </w:rPr>
      </w:pPr>
    </w:p>
    <w:tbl>
      <w:tblPr>
        <w:tblStyle w:val="TableGrid39"/>
        <w:tblW w:w="0" w:type="auto"/>
        <w:tblInd w:w="-318" w:type="dxa"/>
        <w:tblLayout w:type="fixed"/>
        <w:tblLook w:val="04A0" w:firstRow="1" w:lastRow="0" w:firstColumn="1" w:lastColumn="0" w:noHBand="0" w:noVBand="1"/>
      </w:tblPr>
      <w:tblGrid>
        <w:gridCol w:w="3660"/>
        <w:gridCol w:w="1091"/>
        <w:gridCol w:w="1337"/>
        <w:gridCol w:w="1100"/>
        <w:gridCol w:w="2736"/>
      </w:tblGrid>
      <w:tr w:rsidR="00AC7BB5" w:rsidRPr="00AC7BB5" w:rsidTr="00123998">
        <w:trPr>
          <w:trHeight w:val="557"/>
        </w:trPr>
        <w:tc>
          <w:tcPr>
            <w:tcW w:w="3660" w:type="dxa"/>
            <w:vMerge w:val="restart"/>
            <w:shd w:val="clear" w:color="auto" w:fill="548DD4" w:themeFill="text2" w:themeFillTint="99"/>
            <w:vAlign w:val="center"/>
          </w:tcPr>
          <w:p w:rsidR="00AC7BB5" w:rsidRPr="00AC7BB5" w:rsidRDefault="00124391" w:rsidP="00124391">
            <w:pPr>
              <w:rPr>
                <w:rFonts w:ascii="Arial" w:eastAsia="Calibri" w:hAnsi="Arial" w:cs="Arial"/>
                <w:b/>
                <w:bCs/>
                <w:sz w:val="28"/>
                <w:szCs w:val="24"/>
              </w:rPr>
            </w:pPr>
            <w:r w:rsidRPr="00124391">
              <w:rPr>
                <w:rFonts w:ascii="Arial" w:hAnsi="Arial" w:cs="Arial"/>
                <w:b/>
                <w:bCs/>
                <w:color w:val="FFFFFF"/>
                <w:sz w:val="24"/>
                <w:szCs w:val="20"/>
                <w:lang w:val="en-US"/>
              </w:rPr>
              <w:t xml:space="preserve">Staff </w:t>
            </w:r>
            <w:r w:rsidR="00AC7BB5" w:rsidRPr="00124391">
              <w:rPr>
                <w:rFonts w:ascii="Arial" w:hAnsi="Arial" w:cs="Arial"/>
                <w:b/>
                <w:bCs/>
                <w:color w:val="FFFFFF"/>
                <w:sz w:val="24"/>
                <w:szCs w:val="20"/>
                <w:lang w:val="en-US"/>
              </w:rPr>
              <w:t>Sickness</w:t>
            </w:r>
            <w:r w:rsidRPr="00124391">
              <w:rPr>
                <w:rFonts w:ascii="Arial" w:hAnsi="Arial" w:cs="Arial"/>
                <w:b/>
                <w:bCs/>
                <w:color w:val="FFFFFF"/>
                <w:sz w:val="24"/>
                <w:szCs w:val="20"/>
                <w:lang w:val="en-US"/>
              </w:rPr>
              <w:t xml:space="preserve"> Absence</w:t>
            </w:r>
          </w:p>
        </w:tc>
        <w:tc>
          <w:tcPr>
            <w:tcW w:w="1091" w:type="dxa"/>
            <w:vAlign w:val="center"/>
          </w:tcPr>
          <w:p w:rsidR="00AC7BB5" w:rsidRPr="00AC7BB5" w:rsidRDefault="00AC7BB5" w:rsidP="00AC7BB5">
            <w:pPr>
              <w:jc w:val="center"/>
              <w:rPr>
                <w:rFonts w:ascii="Arial" w:hAnsi="Arial" w:cs="Arial"/>
                <w:b/>
                <w:bCs/>
                <w:sz w:val="20"/>
                <w:szCs w:val="20"/>
                <w:lang w:val="en-US"/>
              </w:rPr>
            </w:pPr>
            <w:r w:rsidRPr="00AC7BB5">
              <w:rPr>
                <w:rFonts w:ascii="Arial" w:hAnsi="Arial" w:cs="Arial"/>
                <w:b/>
                <w:bCs/>
                <w:sz w:val="20"/>
                <w:szCs w:val="20"/>
                <w:lang w:val="en-US"/>
              </w:rPr>
              <w:t>Target</w:t>
            </w:r>
          </w:p>
        </w:tc>
        <w:tc>
          <w:tcPr>
            <w:tcW w:w="1337" w:type="dxa"/>
            <w:vAlign w:val="center"/>
          </w:tcPr>
          <w:p w:rsidR="00AC7BB5" w:rsidRDefault="00C0253F" w:rsidP="00AC7BB5">
            <w:pPr>
              <w:jc w:val="center"/>
              <w:rPr>
                <w:rFonts w:ascii="Arial" w:hAnsi="Arial" w:cs="Arial"/>
                <w:b/>
                <w:bCs/>
                <w:sz w:val="20"/>
                <w:szCs w:val="20"/>
                <w:lang w:val="en-US"/>
              </w:rPr>
            </w:pPr>
            <w:r>
              <w:rPr>
                <w:rFonts w:ascii="Arial" w:hAnsi="Arial" w:cs="Arial"/>
                <w:b/>
                <w:bCs/>
                <w:sz w:val="20"/>
                <w:szCs w:val="20"/>
                <w:lang w:val="en-US"/>
              </w:rPr>
              <w:t xml:space="preserve">May </w:t>
            </w:r>
            <w:r w:rsidR="00AC7BB5" w:rsidRPr="00AC7BB5">
              <w:rPr>
                <w:rFonts w:ascii="Arial" w:hAnsi="Arial" w:cs="Arial"/>
                <w:b/>
                <w:bCs/>
                <w:sz w:val="20"/>
                <w:szCs w:val="20"/>
                <w:lang w:val="en-US"/>
              </w:rPr>
              <w:t>20</w:t>
            </w:r>
          </w:p>
          <w:p w:rsidR="00D365AA" w:rsidRPr="00D365AA" w:rsidRDefault="00D365AA" w:rsidP="00AC7BB5">
            <w:pPr>
              <w:jc w:val="center"/>
              <w:rPr>
                <w:rFonts w:ascii="Arial" w:hAnsi="Arial" w:cs="Arial"/>
                <w:bCs/>
                <w:sz w:val="20"/>
                <w:szCs w:val="20"/>
                <w:lang w:val="en-US"/>
              </w:rPr>
            </w:pPr>
            <w:r w:rsidRPr="00D365AA">
              <w:rPr>
                <w:rFonts w:ascii="Arial" w:hAnsi="Arial" w:cs="Arial"/>
                <w:bCs/>
                <w:sz w:val="20"/>
                <w:szCs w:val="20"/>
                <w:lang w:val="en-US"/>
              </w:rPr>
              <w:t>(in month)</w:t>
            </w:r>
          </w:p>
        </w:tc>
        <w:tc>
          <w:tcPr>
            <w:tcW w:w="1100" w:type="dxa"/>
            <w:vAlign w:val="center"/>
          </w:tcPr>
          <w:p w:rsidR="00AC7BB5" w:rsidRPr="00AC7BB5" w:rsidRDefault="00D365AA" w:rsidP="00AC7BB5">
            <w:pPr>
              <w:jc w:val="center"/>
              <w:rPr>
                <w:rFonts w:ascii="Arial" w:hAnsi="Arial" w:cs="Arial"/>
                <w:b/>
                <w:bCs/>
                <w:sz w:val="20"/>
                <w:szCs w:val="20"/>
                <w:lang w:val="en-US"/>
              </w:rPr>
            </w:pPr>
            <w:r>
              <w:rPr>
                <w:rFonts w:ascii="Arial" w:hAnsi="Arial" w:cs="Arial"/>
                <w:b/>
                <w:bCs/>
                <w:sz w:val="20"/>
                <w:szCs w:val="20"/>
                <w:lang w:val="en-US"/>
              </w:rPr>
              <w:t>12 Month Rolling</w:t>
            </w:r>
          </w:p>
        </w:tc>
        <w:tc>
          <w:tcPr>
            <w:tcW w:w="2736" w:type="dxa"/>
          </w:tcPr>
          <w:p w:rsidR="00AC7BB5" w:rsidRDefault="00D365AA" w:rsidP="00D365AA">
            <w:pPr>
              <w:jc w:val="center"/>
              <w:rPr>
                <w:rFonts w:ascii="Arial" w:hAnsi="Arial" w:cs="Arial"/>
                <w:b/>
                <w:bCs/>
                <w:sz w:val="20"/>
                <w:szCs w:val="20"/>
                <w:lang w:val="en-US"/>
              </w:rPr>
            </w:pPr>
            <w:r>
              <w:rPr>
                <w:rFonts w:ascii="Arial" w:hAnsi="Arial" w:cs="Arial"/>
                <w:b/>
                <w:bCs/>
                <w:sz w:val="20"/>
                <w:szCs w:val="20"/>
                <w:lang w:val="en-US"/>
              </w:rPr>
              <w:t>12 Month Trend</w:t>
            </w:r>
          </w:p>
          <w:p w:rsidR="00D365AA" w:rsidRPr="00D365AA" w:rsidRDefault="00D365AA" w:rsidP="00D365AA">
            <w:pPr>
              <w:jc w:val="center"/>
              <w:rPr>
                <w:rFonts w:ascii="Arial" w:eastAsia="Calibri" w:hAnsi="Arial" w:cs="Arial"/>
                <w:bCs/>
                <w:sz w:val="28"/>
                <w:szCs w:val="24"/>
              </w:rPr>
            </w:pPr>
            <w:r w:rsidRPr="00D365AA">
              <w:rPr>
                <w:rFonts w:ascii="Arial" w:hAnsi="Arial" w:cs="Arial"/>
                <w:bCs/>
                <w:sz w:val="20"/>
                <w:szCs w:val="20"/>
                <w:lang w:val="en-US"/>
              </w:rPr>
              <w:t>(in month figures)</w:t>
            </w:r>
          </w:p>
        </w:tc>
      </w:tr>
      <w:tr w:rsidR="00AC7BB5" w:rsidRPr="00AC7BB5" w:rsidTr="00123998">
        <w:trPr>
          <w:trHeight w:val="600"/>
        </w:trPr>
        <w:tc>
          <w:tcPr>
            <w:tcW w:w="3660" w:type="dxa"/>
            <w:vMerge/>
            <w:shd w:val="clear" w:color="auto" w:fill="548DD4" w:themeFill="text2" w:themeFillTint="99"/>
          </w:tcPr>
          <w:p w:rsidR="00AC7BB5" w:rsidRPr="00AC7BB5" w:rsidRDefault="00AC7BB5" w:rsidP="00AC7BB5">
            <w:pPr>
              <w:jc w:val="both"/>
              <w:rPr>
                <w:rFonts w:ascii="Arial" w:eastAsia="Calibri" w:hAnsi="Arial" w:cs="Arial"/>
                <w:b/>
                <w:bCs/>
                <w:sz w:val="28"/>
                <w:szCs w:val="24"/>
              </w:rPr>
            </w:pPr>
          </w:p>
        </w:tc>
        <w:tc>
          <w:tcPr>
            <w:tcW w:w="1091" w:type="dxa"/>
            <w:vAlign w:val="center"/>
          </w:tcPr>
          <w:p w:rsidR="00AC7BB5" w:rsidRPr="00AC7BB5" w:rsidRDefault="00D365AA" w:rsidP="00AC7BB5">
            <w:pPr>
              <w:jc w:val="center"/>
              <w:rPr>
                <w:rFonts w:ascii="Arial" w:hAnsi="Arial" w:cs="Arial"/>
                <w:sz w:val="20"/>
                <w:szCs w:val="20"/>
                <w:lang w:val="en-US"/>
              </w:rPr>
            </w:pPr>
            <w:r>
              <w:rPr>
                <w:rFonts w:ascii="Calibri" w:hAnsi="Calibri" w:cs="Calibri"/>
                <w:color w:val="000000"/>
                <w:sz w:val="16"/>
                <w:szCs w:val="16"/>
              </w:rPr>
              <w:t xml:space="preserve">G: =&lt;4%, </w:t>
            </w:r>
            <w:r>
              <w:rPr>
                <w:rFonts w:ascii="Calibri" w:hAnsi="Calibri" w:cs="Calibri"/>
                <w:color w:val="000000"/>
                <w:sz w:val="16"/>
                <w:szCs w:val="16"/>
              </w:rPr>
              <w:br/>
              <w:t>A: 4.1 - 4.4%,</w:t>
            </w:r>
            <w:r>
              <w:rPr>
                <w:rFonts w:ascii="Calibri" w:hAnsi="Calibri" w:cs="Calibri"/>
                <w:color w:val="000000"/>
                <w:sz w:val="16"/>
                <w:szCs w:val="16"/>
              </w:rPr>
              <w:br/>
              <w:t xml:space="preserve"> R: =&gt;4.5%</w:t>
            </w:r>
          </w:p>
        </w:tc>
        <w:tc>
          <w:tcPr>
            <w:tcW w:w="1337" w:type="dxa"/>
            <w:shd w:val="clear" w:color="auto" w:fill="FFC000"/>
            <w:vAlign w:val="center"/>
          </w:tcPr>
          <w:p w:rsidR="00AC7BB5" w:rsidRPr="00AC7BB5" w:rsidRDefault="00AC7BB5" w:rsidP="00AC7BB5">
            <w:pPr>
              <w:jc w:val="center"/>
              <w:rPr>
                <w:rFonts w:ascii="Arial" w:hAnsi="Arial" w:cs="Arial"/>
                <w:sz w:val="20"/>
                <w:szCs w:val="20"/>
                <w:lang w:val="en-US"/>
              </w:rPr>
            </w:pPr>
            <w:r w:rsidRPr="00AC7BB5">
              <w:rPr>
                <w:rFonts w:ascii="Arial" w:hAnsi="Arial" w:cs="Arial"/>
                <w:sz w:val="20"/>
                <w:szCs w:val="20"/>
                <w:lang w:val="en-US"/>
              </w:rPr>
              <w:t>4.15%</w:t>
            </w:r>
          </w:p>
        </w:tc>
        <w:tc>
          <w:tcPr>
            <w:tcW w:w="1100" w:type="dxa"/>
            <w:shd w:val="clear" w:color="auto" w:fill="FFC000"/>
            <w:vAlign w:val="center"/>
          </w:tcPr>
          <w:p w:rsidR="00AC7BB5" w:rsidRPr="00AC7BB5" w:rsidRDefault="00AC7BB5" w:rsidP="00AC7BB5">
            <w:pPr>
              <w:jc w:val="center"/>
              <w:rPr>
                <w:rFonts w:ascii="Arial" w:hAnsi="Arial" w:cs="Arial"/>
                <w:sz w:val="20"/>
                <w:szCs w:val="20"/>
                <w:lang w:val="en-US"/>
              </w:rPr>
            </w:pPr>
            <w:r w:rsidRPr="00AC7BB5">
              <w:rPr>
                <w:rFonts w:ascii="Arial" w:hAnsi="Arial" w:cs="Arial"/>
                <w:sz w:val="20"/>
                <w:szCs w:val="20"/>
                <w:lang w:val="en-US"/>
              </w:rPr>
              <w:t>4.55%</w:t>
            </w:r>
          </w:p>
        </w:tc>
        <w:tc>
          <w:tcPr>
            <w:tcW w:w="2736" w:type="dxa"/>
            <w:vAlign w:val="center"/>
          </w:tcPr>
          <w:p w:rsidR="00AC7BB5" w:rsidRPr="00AC7BB5" w:rsidRDefault="006C2A77" w:rsidP="006C2A77">
            <w:pPr>
              <w:jc w:val="center"/>
              <w:rPr>
                <w:rFonts w:ascii="Arial" w:eastAsia="Calibri" w:hAnsi="Arial" w:cs="Arial"/>
                <w:b/>
                <w:bCs/>
                <w:sz w:val="28"/>
                <w:szCs w:val="24"/>
              </w:rPr>
            </w:pPr>
            <w:r>
              <w:rPr>
                <w:rFonts w:ascii="Arial" w:eastAsia="Calibri" w:hAnsi="Arial" w:cs="Arial"/>
                <w:b/>
                <w:bCs/>
                <w:noProof/>
                <w:sz w:val="28"/>
                <w:szCs w:val="24"/>
                <w:lang w:eastAsia="en-GB"/>
              </w:rPr>
              <w:drawing>
                <wp:inline distT="0" distB="0" distL="0" distR="0" wp14:anchorId="3931FDEC" wp14:editId="4DE72944">
                  <wp:extent cx="1600200" cy="335756"/>
                  <wp:effectExtent l="0" t="0" r="0" b="762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97931" cy="335280"/>
                          </a:xfrm>
                          <a:prstGeom prst="rect">
                            <a:avLst/>
                          </a:prstGeom>
                          <a:noFill/>
                        </pic:spPr>
                      </pic:pic>
                    </a:graphicData>
                  </a:graphic>
                </wp:inline>
              </w:drawing>
            </w:r>
          </w:p>
        </w:tc>
      </w:tr>
      <w:tr w:rsidR="00AC7BB5" w:rsidRPr="00AC7BB5" w:rsidTr="00123998">
        <w:trPr>
          <w:trHeight w:val="699"/>
        </w:trPr>
        <w:tc>
          <w:tcPr>
            <w:tcW w:w="9924" w:type="dxa"/>
            <w:gridSpan w:val="5"/>
          </w:tcPr>
          <w:p w:rsidR="006C2A77" w:rsidRPr="006C2A77" w:rsidRDefault="006C2A77" w:rsidP="00693C54">
            <w:pPr>
              <w:spacing w:before="80" w:after="80"/>
              <w:jc w:val="both"/>
              <w:rPr>
                <w:rFonts w:ascii="Arial" w:eastAsia="Calibri" w:hAnsi="Arial" w:cs="Arial"/>
                <w:bCs/>
                <w:sz w:val="32"/>
                <w:szCs w:val="24"/>
              </w:rPr>
            </w:pPr>
            <w:r w:rsidRPr="006C2A77">
              <w:rPr>
                <w:rFonts w:ascii="Arial" w:hAnsi="Arial" w:cs="Arial"/>
                <w:b/>
                <w:bCs/>
                <w:sz w:val="24"/>
                <w:szCs w:val="20"/>
                <w:lang w:val="en-US" w:eastAsia="en-GB"/>
              </w:rPr>
              <w:t>Reason for non-compliance</w:t>
            </w:r>
          </w:p>
          <w:p w:rsidR="00AC7BB5" w:rsidRPr="00D77ADE" w:rsidRDefault="00AC7BB5" w:rsidP="00D77ADE">
            <w:pPr>
              <w:jc w:val="both"/>
              <w:rPr>
                <w:sz w:val="24"/>
              </w:rPr>
            </w:pPr>
            <w:r w:rsidRPr="00D77ADE">
              <w:rPr>
                <w:rFonts w:ascii="Arial" w:eastAsia="Calibri" w:hAnsi="Arial" w:cs="Arial"/>
                <w:bCs/>
                <w:sz w:val="24"/>
                <w:szCs w:val="24"/>
              </w:rPr>
              <w:t>The Trust 12 month rolling sickness absence is 4.55%, with the in-month sickness figure for Ma</w:t>
            </w:r>
            <w:r w:rsidR="00D77ADE">
              <w:rPr>
                <w:rFonts w:ascii="Arial" w:eastAsia="Calibri" w:hAnsi="Arial" w:cs="Arial"/>
                <w:bCs/>
                <w:sz w:val="24"/>
                <w:szCs w:val="24"/>
              </w:rPr>
              <w:t>y 2020 at 4.15%; this is a not</w:t>
            </w:r>
            <w:r w:rsidR="00D77ADE" w:rsidRPr="00D77ADE">
              <w:rPr>
                <w:rFonts w:ascii="Arial" w:eastAsia="Calibri" w:hAnsi="Arial" w:cs="Arial"/>
                <w:bCs/>
                <w:sz w:val="24"/>
                <w:szCs w:val="24"/>
              </w:rPr>
              <w:t>able</w:t>
            </w:r>
            <w:r w:rsidRPr="00D77ADE">
              <w:rPr>
                <w:rFonts w:ascii="Arial" w:eastAsia="Calibri" w:hAnsi="Arial" w:cs="Arial"/>
                <w:bCs/>
                <w:sz w:val="24"/>
                <w:szCs w:val="24"/>
              </w:rPr>
              <w:t xml:space="preserve"> decrease from April’s in-month figure of 5.08%. </w:t>
            </w:r>
          </w:p>
          <w:p w:rsidR="00AC7BB5" w:rsidRPr="00DA1D5E" w:rsidRDefault="00AC7BB5" w:rsidP="00D77ADE">
            <w:pPr>
              <w:jc w:val="both"/>
              <w:rPr>
                <w:rFonts w:ascii="Arial" w:eastAsia="Calibri" w:hAnsi="Arial" w:cs="Arial"/>
                <w:bCs/>
                <w:sz w:val="12"/>
                <w:szCs w:val="12"/>
                <w:highlight w:val="yellow"/>
              </w:rPr>
            </w:pPr>
          </w:p>
          <w:p w:rsidR="00AC7BB5" w:rsidRDefault="00AC7BB5" w:rsidP="00D77ADE">
            <w:pPr>
              <w:jc w:val="both"/>
              <w:rPr>
                <w:rFonts w:ascii="Arial" w:eastAsia="Calibri" w:hAnsi="Arial" w:cs="Arial"/>
                <w:bCs/>
                <w:sz w:val="24"/>
              </w:rPr>
            </w:pPr>
            <w:r w:rsidRPr="00D77ADE">
              <w:rPr>
                <w:rFonts w:ascii="Arial" w:eastAsia="Calibri" w:hAnsi="Arial" w:cs="Arial"/>
                <w:bCs/>
                <w:sz w:val="24"/>
              </w:rPr>
              <w:t>The top three reasons for sickness absence, with the number of episodes for each are shown below:</w:t>
            </w:r>
          </w:p>
          <w:p w:rsidR="00921FC8" w:rsidRPr="00DA1D5E" w:rsidRDefault="00921FC8" w:rsidP="00D77ADE">
            <w:pPr>
              <w:jc w:val="both"/>
              <w:rPr>
                <w:rFonts w:ascii="Arial" w:eastAsia="Calibri" w:hAnsi="Arial" w:cs="Arial"/>
                <w:bCs/>
                <w:sz w:val="12"/>
                <w:szCs w:val="12"/>
              </w:rPr>
            </w:pPr>
          </w:p>
          <w:tbl>
            <w:tblPr>
              <w:tblStyle w:val="TableGrid39"/>
              <w:tblW w:w="0" w:type="auto"/>
              <w:tblLayout w:type="fixed"/>
              <w:tblLook w:val="04A0" w:firstRow="1" w:lastRow="0" w:firstColumn="1" w:lastColumn="0" w:noHBand="0" w:noVBand="1"/>
            </w:tblPr>
            <w:tblGrid>
              <w:gridCol w:w="562"/>
              <w:gridCol w:w="3720"/>
              <w:gridCol w:w="4253"/>
            </w:tblGrid>
            <w:tr w:rsidR="00AC7BB5" w:rsidRPr="00AC7BB5" w:rsidTr="00123998">
              <w:tc>
                <w:tcPr>
                  <w:tcW w:w="562" w:type="dxa"/>
                  <w:shd w:val="clear" w:color="auto" w:fill="92D050"/>
                </w:tcPr>
                <w:p w:rsidR="00AC7BB5" w:rsidRPr="00AC7BB5" w:rsidRDefault="00AC7BB5" w:rsidP="00AC7BB5">
                  <w:pPr>
                    <w:jc w:val="both"/>
                    <w:rPr>
                      <w:rFonts w:ascii="Arial" w:eastAsia="Calibri" w:hAnsi="Arial" w:cs="Arial"/>
                      <w:b/>
                      <w:bCs/>
                    </w:rPr>
                  </w:pPr>
                </w:p>
              </w:tc>
              <w:tc>
                <w:tcPr>
                  <w:tcW w:w="3720" w:type="dxa"/>
                  <w:shd w:val="clear" w:color="auto" w:fill="92D050"/>
                </w:tcPr>
                <w:p w:rsidR="00AC7BB5" w:rsidRPr="00AC7BB5" w:rsidRDefault="00AC7BB5" w:rsidP="00AC7BB5">
                  <w:pPr>
                    <w:jc w:val="both"/>
                    <w:rPr>
                      <w:rFonts w:ascii="Arial" w:eastAsia="Calibri" w:hAnsi="Arial" w:cs="Arial"/>
                      <w:bCs/>
                    </w:rPr>
                  </w:pPr>
                  <w:r w:rsidRPr="00AC7BB5">
                    <w:rPr>
                      <w:rFonts w:ascii="Arial" w:eastAsia="Calibri" w:hAnsi="Arial" w:cs="Arial"/>
                      <w:b/>
                      <w:bCs/>
                    </w:rPr>
                    <w:t>Absence Reason</w:t>
                  </w:r>
                </w:p>
              </w:tc>
              <w:tc>
                <w:tcPr>
                  <w:tcW w:w="4253" w:type="dxa"/>
                  <w:shd w:val="clear" w:color="auto" w:fill="92D050"/>
                </w:tcPr>
                <w:p w:rsidR="00AC7BB5" w:rsidRPr="00AC7BB5" w:rsidRDefault="00AC7BB5" w:rsidP="00AC7BB5">
                  <w:pPr>
                    <w:jc w:val="both"/>
                    <w:rPr>
                      <w:rFonts w:ascii="Arial" w:eastAsia="Calibri" w:hAnsi="Arial" w:cs="Arial"/>
                      <w:bCs/>
                    </w:rPr>
                  </w:pPr>
                  <w:r w:rsidRPr="00AC7BB5">
                    <w:rPr>
                      <w:rFonts w:ascii="Arial" w:eastAsia="Calibri" w:hAnsi="Arial" w:cs="Arial"/>
                      <w:b/>
                      <w:bCs/>
                    </w:rPr>
                    <w:t>Number of Episodes</w:t>
                  </w:r>
                </w:p>
              </w:tc>
            </w:tr>
            <w:tr w:rsidR="00AC7BB5" w:rsidRPr="00AC7BB5" w:rsidTr="00123998">
              <w:tc>
                <w:tcPr>
                  <w:tcW w:w="562" w:type="dxa"/>
                </w:tcPr>
                <w:p w:rsidR="00AC7BB5" w:rsidRPr="00AC7BB5" w:rsidRDefault="00AC7BB5" w:rsidP="00AC7BB5">
                  <w:pPr>
                    <w:jc w:val="both"/>
                    <w:rPr>
                      <w:rFonts w:ascii="Arial" w:eastAsia="Calibri" w:hAnsi="Arial" w:cs="Arial"/>
                      <w:bCs/>
                    </w:rPr>
                  </w:pPr>
                  <w:r w:rsidRPr="00AC7BB5">
                    <w:rPr>
                      <w:rFonts w:ascii="Arial" w:eastAsia="Calibri" w:hAnsi="Arial" w:cs="Arial"/>
                      <w:bCs/>
                    </w:rPr>
                    <w:t>1</w:t>
                  </w:r>
                </w:p>
              </w:tc>
              <w:tc>
                <w:tcPr>
                  <w:tcW w:w="3720" w:type="dxa"/>
                </w:tcPr>
                <w:p w:rsidR="00AC7BB5" w:rsidRPr="00AC7BB5" w:rsidRDefault="00AC7BB5" w:rsidP="00AC7BB5">
                  <w:pPr>
                    <w:jc w:val="both"/>
                    <w:rPr>
                      <w:rFonts w:ascii="Arial" w:eastAsia="Calibri" w:hAnsi="Arial" w:cs="Arial"/>
                      <w:bCs/>
                    </w:rPr>
                  </w:pPr>
                  <w:r w:rsidRPr="00AC7BB5">
                    <w:rPr>
                      <w:rFonts w:ascii="Arial" w:eastAsia="Calibri" w:hAnsi="Arial" w:cs="Arial"/>
                      <w:bCs/>
                    </w:rPr>
                    <w:t>Chest and Respiratory Problems</w:t>
                  </w:r>
                </w:p>
              </w:tc>
              <w:tc>
                <w:tcPr>
                  <w:tcW w:w="4253" w:type="dxa"/>
                </w:tcPr>
                <w:p w:rsidR="00AC7BB5" w:rsidRPr="00AC7BB5" w:rsidRDefault="00AC7BB5" w:rsidP="00AC7BB5">
                  <w:pPr>
                    <w:jc w:val="both"/>
                    <w:rPr>
                      <w:rFonts w:ascii="Arial" w:eastAsia="Calibri" w:hAnsi="Arial" w:cs="Arial"/>
                      <w:bCs/>
                    </w:rPr>
                  </w:pPr>
                  <w:r w:rsidRPr="00AC7BB5">
                    <w:rPr>
                      <w:rFonts w:ascii="Arial" w:eastAsia="Calibri" w:hAnsi="Arial" w:cs="Arial"/>
                      <w:bCs/>
                    </w:rPr>
                    <w:t>40</w:t>
                  </w:r>
                </w:p>
              </w:tc>
            </w:tr>
            <w:tr w:rsidR="00AC7BB5" w:rsidRPr="00AC7BB5" w:rsidTr="00123998">
              <w:tc>
                <w:tcPr>
                  <w:tcW w:w="562" w:type="dxa"/>
                </w:tcPr>
                <w:p w:rsidR="00AC7BB5" w:rsidRPr="00AC7BB5" w:rsidRDefault="00AC7BB5" w:rsidP="00AC7BB5">
                  <w:pPr>
                    <w:jc w:val="both"/>
                    <w:rPr>
                      <w:rFonts w:ascii="Arial" w:eastAsia="Calibri" w:hAnsi="Arial" w:cs="Arial"/>
                      <w:bCs/>
                    </w:rPr>
                  </w:pPr>
                  <w:r w:rsidRPr="00AC7BB5">
                    <w:rPr>
                      <w:rFonts w:ascii="Arial" w:eastAsia="Calibri" w:hAnsi="Arial" w:cs="Arial"/>
                      <w:bCs/>
                    </w:rPr>
                    <w:t>2</w:t>
                  </w:r>
                </w:p>
              </w:tc>
              <w:tc>
                <w:tcPr>
                  <w:tcW w:w="3720" w:type="dxa"/>
                </w:tcPr>
                <w:p w:rsidR="00AC7BB5" w:rsidRPr="00AC7BB5" w:rsidRDefault="00AC7BB5" w:rsidP="00AC7BB5">
                  <w:pPr>
                    <w:jc w:val="both"/>
                    <w:rPr>
                      <w:rFonts w:ascii="Arial" w:eastAsia="Calibri" w:hAnsi="Arial" w:cs="Arial"/>
                      <w:bCs/>
                    </w:rPr>
                  </w:pPr>
                  <w:r w:rsidRPr="00AC7BB5">
                    <w:rPr>
                      <w:rFonts w:ascii="Arial" w:eastAsia="Calibri" w:hAnsi="Arial" w:cs="Arial"/>
                      <w:bCs/>
                    </w:rPr>
                    <w:t>Anxiety / Stress / Depression</w:t>
                  </w:r>
                </w:p>
              </w:tc>
              <w:tc>
                <w:tcPr>
                  <w:tcW w:w="4253" w:type="dxa"/>
                </w:tcPr>
                <w:p w:rsidR="00AC7BB5" w:rsidRPr="00AC7BB5" w:rsidRDefault="00AC7BB5" w:rsidP="00AC7BB5">
                  <w:pPr>
                    <w:jc w:val="both"/>
                    <w:rPr>
                      <w:rFonts w:ascii="Arial" w:eastAsia="Calibri" w:hAnsi="Arial" w:cs="Arial"/>
                      <w:bCs/>
                    </w:rPr>
                  </w:pPr>
                  <w:r w:rsidRPr="00AC7BB5">
                    <w:rPr>
                      <w:rFonts w:ascii="Arial" w:eastAsia="Calibri" w:hAnsi="Arial" w:cs="Arial"/>
                      <w:bCs/>
                    </w:rPr>
                    <w:t>33</w:t>
                  </w:r>
                </w:p>
              </w:tc>
            </w:tr>
            <w:tr w:rsidR="00AC7BB5" w:rsidRPr="00AC7BB5" w:rsidTr="00123998">
              <w:tc>
                <w:tcPr>
                  <w:tcW w:w="562" w:type="dxa"/>
                </w:tcPr>
                <w:p w:rsidR="00AC7BB5" w:rsidRPr="00AC7BB5" w:rsidRDefault="00AC7BB5" w:rsidP="00AC7BB5">
                  <w:pPr>
                    <w:jc w:val="both"/>
                    <w:rPr>
                      <w:rFonts w:ascii="Arial" w:eastAsia="Calibri" w:hAnsi="Arial" w:cs="Arial"/>
                      <w:bCs/>
                    </w:rPr>
                  </w:pPr>
                  <w:r w:rsidRPr="00AC7BB5">
                    <w:rPr>
                      <w:rFonts w:ascii="Arial" w:eastAsia="Calibri" w:hAnsi="Arial" w:cs="Arial"/>
                      <w:bCs/>
                    </w:rPr>
                    <w:t>3</w:t>
                  </w:r>
                </w:p>
              </w:tc>
              <w:tc>
                <w:tcPr>
                  <w:tcW w:w="3720" w:type="dxa"/>
                </w:tcPr>
                <w:p w:rsidR="00AC7BB5" w:rsidRPr="00AC7BB5" w:rsidRDefault="00AC7BB5" w:rsidP="00AC7BB5">
                  <w:pPr>
                    <w:jc w:val="both"/>
                    <w:rPr>
                      <w:rFonts w:ascii="Arial" w:eastAsia="Calibri" w:hAnsi="Arial" w:cs="Arial"/>
                      <w:bCs/>
                    </w:rPr>
                  </w:pPr>
                  <w:r w:rsidRPr="00AC7BB5">
                    <w:rPr>
                      <w:rFonts w:ascii="Arial" w:eastAsia="Calibri" w:hAnsi="Arial" w:cs="Arial"/>
                      <w:bCs/>
                    </w:rPr>
                    <w:t>Gastrointestinal Problems</w:t>
                  </w:r>
                </w:p>
              </w:tc>
              <w:tc>
                <w:tcPr>
                  <w:tcW w:w="4253" w:type="dxa"/>
                </w:tcPr>
                <w:p w:rsidR="00AC7BB5" w:rsidRPr="00AC7BB5" w:rsidRDefault="00AC7BB5" w:rsidP="00AC7BB5">
                  <w:pPr>
                    <w:jc w:val="both"/>
                    <w:rPr>
                      <w:rFonts w:ascii="Arial" w:eastAsia="Calibri" w:hAnsi="Arial" w:cs="Arial"/>
                      <w:bCs/>
                    </w:rPr>
                  </w:pPr>
                  <w:r w:rsidRPr="00AC7BB5">
                    <w:rPr>
                      <w:rFonts w:ascii="Arial" w:eastAsia="Calibri" w:hAnsi="Arial" w:cs="Arial"/>
                      <w:bCs/>
                    </w:rPr>
                    <w:t>16</w:t>
                  </w:r>
                </w:p>
              </w:tc>
            </w:tr>
          </w:tbl>
          <w:p w:rsidR="00AC7BB5" w:rsidRPr="00DA1D5E" w:rsidRDefault="00AC7BB5" w:rsidP="00AC7BB5">
            <w:pPr>
              <w:jc w:val="both"/>
              <w:rPr>
                <w:rFonts w:ascii="Arial" w:eastAsia="Calibri" w:hAnsi="Arial" w:cs="Arial"/>
                <w:bCs/>
                <w:sz w:val="12"/>
                <w:szCs w:val="12"/>
                <w:highlight w:val="yellow"/>
              </w:rPr>
            </w:pPr>
          </w:p>
          <w:p w:rsidR="00921FC8" w:rsidRDefault="00AC7BB5" w:rsidP="00AC7BB5">
            <w:pPr>
              <w:jc w:val="both"/>
              <w:rPr>
                <w:rFonts w:ascii="Arial" w:eastAsia="Calibri" w:hAnsi="Arial" w:cs="Arial"/>
                <w:bCs/>
                <w:sz w:val="24"/>
                <w:szCs w:val="24"/>
              </w:rPr>
            </w:pPr>
            <w:r w:rsidRPr="008E708A">
              <w:rPr>
                <w:rFonts w:ascii="Arial" w:eastAsia="Calibri" w:hAnsi="Arial" w:cs="Arial"/>
                <w:bCs/>
                <w:sz w:val="24"/>
                <w:szCs w:val="24"/>
              </w:rPr>
              <w:t xml:space="preserve">Chest and Respiratory Problems remains the highest reason for absence for the third month, which is still to be expected given that we are still in the midst of the Coronavirus pandemic. However, we are seeing a downward trend in the number of absences relating to Coronavirus; the number of absence episodes have almost halved since last month from 65 (recorded as ‘Other Chest and Respiratory Problems) to 39 episodes in May 2020. </w:t>
            </w:r>
          </w:p>
          <w:p w:rsidR="00921FC8" w:rsidRPr="00DA1D5E" w:rsidRDefault="00921FC8" w:rsidP="00AC7BB5">
            <w:pPr>
              <w:jc w:val="both"/>
              <w:rPr>
                <w:rFonts w:ascii="Arial" w:eastAsia="Calibri" w:hAnsi="Arial" w:cs="Arial"/>
                <w:bCs/>
                <w:sz w:val="12"/>
                <w:szCs w:val="12"/>
              </w:rPr>
            </w:pPr>
          </w:p>
          <w:p w:rsidR="00AC7BB5" w:rsidRPr="008E708A" w:rsidRDefault="00AC7BB5" w:rsidP="00AC7BB5">
            <w:pPr>
              <w:jc w:val="both"/>
              <w:rPr>
                <w:rFonts w:ascii="Arial" w:eastAsia="Calibri" w:hAnsi="Arial" w:cs="Arial"/>
                <w:bCs/>
                <w:sz w:val="24"/>
                <w:szCs w:val="24"/>
              </w:rPr>
            </w:pPr>
            <w:r w:rsidRPr="008E708A">
              <w:rPr>
                <w:rFonts w:ascii="Arial" w:eastAsia="Calibri" w:hAnsi="Arial" w:cs="Arial"/>
                <w:bCs/>
                <w:sz w:val="24"/>
                <w:szCs w:val="24"/>
              </w:rPr>
              <w:t>The breakdown of the Coronavirus related absences by directorate is below:</w:t>
            </w:r>
          </w:p>
          <w:p w:rsidR="00AC7BB5" w:rsidRPr="00693C54" w:rsidRDefault="00AC7BB5" w:rsidP="00AC7BB5">
            <w:pPr>
              <w:jc w:val="both"/>
              <w:rPr>
                <w:rFonts w:ascii="Arial" w:eastAsia="Calibri" w:hAnsi="Arial" w:cs="Arial"/>
                <w:bCs/>
                <w:sz w:val="8"/>
                <w:szCs w:val="8"/>
              </w:rPr>
            </w:pPr>
          </w:p>
          <w:tbl>
            <w:tblPr>
              <w:tblStyle w:val="TableGrid39"/>
              <w:tblW w:w="0" w:type="auto"/>
              <w:tblLayout w:type="fixed"/>
              <w:tblLook w:val="04A0" w:firstRow="1" w:lastRow="0" w:firstColumn="1" w:lastColumn="0" w:noHBand="0" w:noVBand="1"/>
            </w:tblPr>
            <w:tblGrid>
              <w:gridCol w:w="4141"/>
              <w:gridCol w:w="4394"/>
            </w:tblGrid>
            <w:tr w:rsidR="00AC7BB5" w:rsidRPr="00AC7BB5" w:rsidTr="00123998">
              <w:tc>
                <w:tcPr>
                  <w:tcW w:w="4141" w:type="dxa"/>
                  <w:shd w:val="clear" w:color="auto" w:fill="92D050"/>
                </w:tcPr>
                <w:p w:rsidR="00AC7BB5" w:rsidRPr="00AC7BB5" w:rsidRDefault="00AC7BB5" w:rsidP="00AC7BB5">
                  <w:pPr>
                    <w:jc w:val="both"/>
                    <w:rPr>
                      <w:rFonts w:ascii="Arial" w:eastAsia="Calibri" w:hAnsi="Arial" w:cs="Arial"/>
                      <w:b/>
                      <w:bCs/>
                    </w:rPr>
                  </w:pPr>
                  <w:r w:rsidRPr="00AC7BB5">
                    <w:rPr>
                      <w:rFonts w:ascii="Arial" w:eastAsia="Calibri" w:hAnsi="Arial" w:cs="Arial"/>
                      <w:b/>
                      <w:bCs/>
                    </w:rPr>
                    <w:t>Directorate</w:t>
                  </w:r>
                </w:p>
              </w:tc>
              <w:tc>
                <w:tcPr>
                  <w:tcW w:w="4394" w:type="dxa"/>
                  <w:shd w:val="clear" w:color="auto" w:fill="92D050"/>
                </w:tcPr>
                <w:p w:rsidR="00AC7BB5" w:rsidRPr="00AC7BB5" w:rsidRDefault="00AC7BB5" w:rsidP="00AC7BB5">
                  <w:pPr>
                    <w:jc w:val="both"/>
                    <w:rPr>
                      <w:rFonts w:ascii="Arial" w:eastAsia="Calibri" w:hAnsi="Arial" w:cs="Arial"/>
                      <w:bCs/>
                    </w:rPr>
                  </w:pPr>
                  <w:r w:rsidRPr="00AC7BB5">
                    <w:rPr>
                      <w:rFonts w:ascii="Arial" w:eastAsia="Calibri" w:hAnsi="Arial" w:cs="Arial"/>
                      <w:b/>
                      <w:bCs/>
                    </w:rPr>
                    <w:t>Number of Episodes (Covid-19 Related)</w:t>
                  </w:r>
                </w:p>
              </w:tc>
            </w:tr>
            <w:tr w:rsidR="00AC7BB5" w:rsidRPr="00AC7BB5" w:rsidTr="00123998">
              <w:tc>
                <w:tcPr>
                  <w:tcW w:w="4141" w:type="dxa"/>
                </w:tcPr>
                <w:p w:rsidR="00AC7BB5" w:rsidRPr="00AC7BB5" w:rsidRDefault="00AC7BB5" w:rsidP="00AC7BB5">
                  <w:pPr>
                    <w:jc w:val="both"/>
                    <w:rPr>
                      <w:rFonts w:ascii="Arial" w:eastAsia="Calibri" w:hAnsi="Arial" w:cs="Arial"/>
                      <w:bCs/>
                    </w:rPr>
                  </w:pPr>
                  <w:r w:rsidRPr="00AC7BB5">
                    <w:rPr>
                      <w:rFonts w:ascii="Arial" w:eastAsia="Calibri" w:hAnsi="Arial" w:cs="Arial"/>
                      <w:bCs/>
                    </w:rPr>
                    <w:t>Chemotherapy Services</w:t>
                  </w:r>
                </w:p>
              </w:tc>
              <w:tc>
                <w:tcPr>
                  <w:tcW w:w="4394" w:type="dxa"/>
                </w:tcPr>
                <w:p w:rsidR="00AC7BB5" w:rsidRPr="00AC7BB5" w:rsidRDefault="00AC7BB5" w:rsidP="00AC7BB5">
                  <w:pPr>
                    <w:jc w:val="both"/>
                    <w:rPr>
                      <w:rFonts w:ascii="Arial" w:eastAsia="Calibri" w:hAnsi="Arial" w:cs="Arial"/>
                      <w:bCs/>
                    </w:rPr>
                  </w:pPr>
                  <w:r w:rsidRPr="00AC7BB5">
                    <w:rPr>
                      <w:rFonts w:ascii="Arial" w:eastAsia="Calibri" w:hAnsi="Arial" w:cs="Arial"/>
                      <w:bCs/>
                    </w:rPr>
                    <w:t>12</w:t>
                  </w:r>
                </w:p>
              </w:tc>
            </w:tr>
            <w:tr w:rsidR="00AC7BB5" w:rsidRPr="00AC7BB5" w:rsidTr="00123998">
              <w:tc>
                <w:tcPr>
                  <w:tcW w:w="4141" w:type="dxa"/>
                </w:tcPr>
                <w:p w:rsidR="00AC7BB5" w:rsidRPr="00AC7BB5" w:rsidRDefault="00AC7BB5" w:rsidP="00AC7BB5">
                  <w:pPr>
                    <w:jc w:val="both"/>
                    <w:rPr>
                      <w:rFonts w:ascii="Arial" w:eastAsia="Calibri" w:hAnsi="Arial" w:cs="Arial"/>
                      <w:bCs/>
                    </w:rPr>
                  </w:pPr>
                  <w:r w:rsidRPr="00AC7BB5">
                    <w:rPr>
                      <w:rFonts w:ascii="Arial" w:eastAsia="Calibri" w:hAnsi="Arial" w:cs="Arial"/>
                      <w:bCs/>
                    </w:rPr>
                    <w:t>Integrated Care</w:t>
                  </w:r>
                </w:p>
              </w:tc>
              <w:tc>
                <w:tcPr>
                  <w:tcW w:w="4394" w:type="dxa"/>
                </w:tcPr>
                <w:p w:rsidR="00AC7BB5" w:rsidRPr="00AC7BB5" w:rsidRDefault="00AC7BB5" w:rsidP="00AC7BB5">
                  <w:pPr>
                    <w:jc w:val="both"/>
                    <w:rPr>
                      <w:rFonts w:ascii="Arial" w:eastAsia="Calibri" w:hAnsi="Arial" w:cs="Arial"/>
                      <w:bCs/>
                    </w:rPr>
                  </w:pPr>
                  <w:r w:rsidRPr="00AC7BB5">
                    <w:rPr>
                      <w:rFonts w:ascii="Arial" w:eastAsia="Calibri" w:hAnsi="Arial" w:cs="Arial"/>
                      <w:bCs/>
                    </w:rPr>
                    <w:t>9</w:t>
                  </w:r>
                </w:p>
              </w:tc>
            </w:tr>
            <w:tr w:rsidR="00AC7BB5" w:rsidRPr="00AC7BB5" w:rsidTr="00123998">
              <w:tc>
                <w:tcPr>
                  <w:tcW w:w="4141" w:type="dxa"/>
                </w:tcPr>
                <w:p w:rsidR="00AC7BB5" w:rsidRPr="00AC7BB5" w:rsidRDefault="00AC7BB5" w:rsidP="00AC7BB5">
                  <w:pPr>
                    <w:jc w:val="both"/>
                    <w:rPr>
                      <w:rFonts w:ascii="Arial" w:eastAsia="Calibri" w:hAnsi="Arial" w:cs="Arial"/>
                      <w:bCs/>
                    </w:rPr>
                  </w:pPr>
                  <w:r w:rsidRPr="00AC7BB5">
                    <w:rPr>
                      <w:rFonts w:ascii="Arial" w:eastAsia="Calibri" w:hAnsi="Arial" w:cs="Arial"/>
                      <w:bCs/>
                    </w:rPr>
                    <w:t>Radiation Services</w:t>
                  </w:r>
                </w:p>
              </w:tc>
              <w:tc>
                <w:tcPr>
                  <w:tcW w:w="4394" w:type="dxa"/>
                </w:tcPr>
                <w:p w:rsidR="00AC7BB5" w:rsidRPr="00AC7BB5" w:rsidRDefault="00AC7BB5" w:rsidP="00AC7BB5">
                  <w:pPr>
                    <w:jc w:val="both"/>
                    <w:rPr>
                      <w:rFonts w:ascii="Arial" w:eastAsia="Calibri" w:hAnsi="Arial" w:cs="Arial"/>
                      <w:bCs/>
                    </w:rPr>
                  </w:pPr>
                  <w:r w:rsidRPr="00AC7BB5">
                    <w:rPr>
                      <w:rFonts w:ascii="Arial" w:eastAsia="Calibri" w:hAnsi="Arial" w:cs="Arial"/>
                      <w:bCs/>
                    </w:rPr>
                    <w:t>9</w:t>
                  </w:r>
                </w:p>
              </w:tc>
            </w:tr>
            <w:tr w:rsidR="00AC7BB5" w:rsidRPr="00AC7BB5" w:rsidTr="00123998">
              <w:tc>
                <w:tcPr>
                  <w:tcW w:w="4141" w:type="dxa"/>
                </w:tcPr>
                <w:p w:rsidR="00AC7BB5" w:rsidRPr="00AC7BB5" w:rsidRDefault="00AC7BB5" w:rsidP="00AC7BB5">
                  <w:pPr>
                    <w:jc w:val="both"/>
                    <w:rPr>
                      <w:rFonts w:ascii="Arial" w:eastAsia="Calibri" w:hAnsi="Arial" w:cs="Arial"/>
                      <w:bCs/>
                    </w:rPr>
                  </w:pPr>
                  <w:r w:rsidRPr="00AC7BB5">
                    <w:rPr>
                      <w:rFonts w:ascii="Arial" w:eastAsia="Calibri" w:hAnsi="Arial" w:cs="Arial"/>
                      <w:bCs/>
                    </w:rPr>
                    <w:t>Haemato-Oncology</w:t>
                  </w:r>
                </w:p>
              </w:tc>
              <w:tc>
                <w:tcPr>
                  <w:tcW w:w="4394" w:type="dxa"/>
                </w:tcPr>
                <w:p w:rsidR="00AC7BB5" w:rsidRPr="00AC7BB5" w:rsidRDefault="00AC7BB5" w:rsidP="00AC7BB5">
                  <w:pPr>
                    <w:jc w:val="both"/>
                    <w:rPr>
                      <w:rFonts w:ascii="Arial" w:eastAsia="Calibri" w:hAnsi="Arial" w:cs="Arial"/>
                      <w:bCs/>
                    </w:rPr>
                  </w:pPr>
                  <w:r w:rsidRPr="00AC7BB5">
                    <w:rPr>
                      <w:rFonts w:ascii="Arial" w:eastAsia="Calibri" w:hAnsi="Arial" w:cs="Arial"/>
                      <w:bCs/>
                    </w:rPr>
                    <w:t>6</w:t>
                  </w:r>
                </w:p>
              </w:tc>
            </w:tr>
            <w:tr w:rsidR="00AC7BB5" w:rsidRPr="00AC7BB5" w:rsidTr="00123998">
              <w:tc>
                <w:tcPr>
                  <w:tcW w:w="4141" w:type="dxa"/>
                </w:tcPr>
                <w:p w:rsidR="00AC7BB5" w:rsidRPr="00AC7BB5" w:rsidRDefault="00AC7BB5" w:rsidP="00AC7BB5">
                  <w:pPr>
                    <w:jc w:val="both"/>
                    <w:rPr>
                      <w:rFonts w:ascii="Arial" w:eastAsia="Calibri" w:hAnsi="Arial" w:cs="Arial"/>
                      <w:bCs/>
                    </w:rPr>
                  </w:pPr>
                  <w:r w:rsidRPr="00AC7BB5">
                    <w:rPr>
                      <w:rFonts w:ascii="Arial" w:eastAsia="Calibri" w:hAnsi="Arial" w:cs="Arial"/>
                      <w:bCs/>
                    </w:rPr>
                    <w:lastRenderedPageBreak/>
                    <w:t>Corporate</w:t>
                  </w:r>
                </w:p>
              </w:tc>
              <w:tc>
                <w:tcPr>
                  <w:tcW w:w="4394" w:type="dxa"/>
                </w:tcPr>
                <w:p w:rsidR="00AC7BB5" w:rsidRPr="00AC7BB5" w:rsidRDefault="00AC7BB5" w:rsidP="00AC7BB5">
                  <w:pPr>
                    <w:jc w:val="both"/>
                    <w:rPr>
                      <w:rFonts w:ascii="Arial" w:eastAsia="Calibri" w:hAnsi="Arial" w:cs="Arial"/>
                      <w:bCs/>
                    </w:rPr>
                  </w:pPr>
                  <w:r w:rsidRPr="00AC7BB5">
                    <w:rPr>
                      <w:rFonts w:ascii="Arial" w:eastAsia="Calibri" w:hAnsi="Arial" w:cs="Arial"/>
                      <w:bCs/>
                    </w:rPr>
                    <w:t>2</w:t>
                  </w:r>
                </w:p>
              </w:tc>
            </w:tr>
            <w:tr w:rsidR="00AC7BB5" w:rsidRPr="00AC7BB5" w:rsidTr="00123998">
              <w:tc>
                <w:tcPr>
                  <w:tcW w:w="4141" w:type="dxa"/>
                </w:tcPr>
                <w:p w:rsidR="00AC7BB5" w:rsidRPr="00AC7BB5" w:rsidRDefault="00AC7BB5" w:rsidP="00AC7BB5">
                  <w:pPr>
                    <w:jc w:val="both"/>
                    <w:rPr>
                      <w:rFonts w:ascii="Arial" w:eastAsia="Calibri" w:hAnsi="Arial" w:cs="Arial"/>
                      <w:bCs/>
                    </w:rPr>
                  </w:pPr>
                  <w:r w:rsidRPr="00AC7BB5">
                    <w:rPr>
                      <w:rFonts w:ascii="Arial" w:eastAsia="Calibri" w:hAnsi="Arial" w:cs="Arial"/>
                      <w:bCs/>
                    </w:rPr>
                    <w:t>Quality</w:t>
                  </w:r>
                </w:p>
              </w:tc>
              <w:tc>
                <w:tcPr>
                  <w:tcW w:w="4394" w:type="dxa"/>
                </w:tcPr>
                <w:p w:rsidR="00AC7BB5" w:rsidRPr="00AC7BB5" w:rsidRDefault="00AC7BB5" w:rsidP="00AC7BB5">
                  <w:pPr>
                    <w:jc w:val="both"/>
                    <w:rPr>
                      <w:rFonts w:ascii="Arial" w:eastAsia="Calibri" w:hAnsi="Arial" w:cs="Arial"/>
                      <w:bCs/>
                    </w:rPr>
                  </w:pPr>
                  <w:r w:rsidRPr="00AC7BB5">
                    <w:rPr>
                      <w:rFonts w:ascii="Arial" w:eastAsia="Calibri" w:hAnsi="Arial" w:cs="Arial"/>
                      <w:bCs/>
                    </w:rPr>
                    <w:t>1</w:t>
                  </w:r>
                </w:p>
              </w:tc>
            </w:tr>
          </w:tbl>
          <w:p w:rsidR="00AC7BB5" w:rsidRPr="00921FC8" w:rsidRDefault="00AC7BB5" w:rsidP="00AC7BB5">
            <w:pPr>
              <w:jc w:val="both"/>
              <w:rPr>
                <w:rFonts w:ascii="Arial" w:eastAsia="Calibri" w:hAnsi="Arial" w:cs="Arial"/>
                <w:bCs/>
                <w:sz w:val="12"/>
                <w:szCs w:val="12"/>
              </w:rPr>
            </w:pPr>
          </w:p>
          <w:p w:rsidR="00AC7BB5" w:rsidRPr="008E708A" w:rsidRDefault="00AC7BB5" w:rsidP="00AC7BB5">
            <w:pPr>
              <w:jc w:val="both"/>
              <w:rPr>
                <w:rFonts w:ascii="Arial" w:eastAsia="Calibri" w:hAnsi="Arial" w:cs="Arial"/>
                <w:bCs/>
                <w:sz w:val="24"/>
                <w:szCs w:val="24"/>
              </w:rPr>
            </w:pPr>
            <w:r w:rsidRPr="008E708A">
              <w:rPr>
                <w:rFonts w:ascii="Arial" w:eastAsia="Calibri" w:hAnsi="Arial" w:cs="Arial"/>
                <w:bCs/>
                <w:sz w:val="24"/>
                <w:szCs w:val="24"/>
              </w:rPr>
              <w:t>The second highest reason for absence in May 2020 was Anxiety/ Stress/ Depression with 33 episodes. Of the 33 episodes, 20 are long-term and 13 are short-term and 12 episodes ended in May 2020 with the remaining 21 continuing into June 2020.</w:t>
            </w:r>
          </w:p>
          <w:p w:rsidR="00AC7BB5" w:rsidRPr="00921FC8" w:rsidRDefault="00AC7BB5" w:rsidP="00AC7BB5">
            <w:pPr>
              <w:jc w:val="both"/>
              <w:rPr>
                <w:rFonts w:ascii="Arial" w:eastAsia="Calibri" w:hAnsi="Arial" w:cs="Arial"/>
                <w:bCs/>
                <w:sz w:val="12"/>
                <w:szCs w:val="12"/>
              </w:rPr>
            </w:pPr>
          </w:p>
          <w:p w:rsidR="00AC7BB5" w:rsidRDefault="00AC7BB5" w:rsidP="00AC7BB5">
            <w:pPr>
              <w:jc w:val="both"/>
              <w:rPr>
                <w:rFonts w:ascii="Arial" w:eastAsia="Calibri" w:hAnsi="Arial" w:cs="Arial"/>
                <w:bCs/>
                <w:sz w:val="24"/>
                <w:szCs w:val="24"/>
              </w:rPr>
            </w:pPr>
            <w:r w:rsidRPr="008E708A">
              <w:rPr>
                <w:rFonts w:ascii="Arial" w:eastAsia="Calibri" w:hAnsi="Arial" w:cs="Arial"/>
                <w:bCs/>
                <w:sz w:val="24"/>
                <w:szCs w:val="24"/>
              </w:rPr>
              <w:t xml:space="preserve">12 of the 33 episodes were attributed to Stress, and of these 12 episodes, 5 were work-related. The Workforce &amp; OD Business Support team continue </w:t>
            </w:r>
            <w:r w:rsidR="001C1539" w:rsidRPr="008E708A">
              <w:rPr>
                <w:rFonts w:ascii="Arial" w:eastAsia="Calibri" w:hAnsi="Arial" w:cs="Arial"/>
                <w:bCs/>
                <w:sz w:val="24"/>
                <w:szCs w:val="24"/>
              </w:rPr>
              <w:t xml:space="preserve">to </w:t>
            </w:r>
            <w:r w:rsidRPr="008E708A">
              <w:rPr>
                <w:rFonts w:ascii="Arial" w:eastAsia="Calibri" w:hAnsi="Arial" w:cs="Arial"/>
                <w:bCs/>
                <w:sz w:val="24"/>
                <w:szCs w:val="24"/>
              </w:rPr>
              <w:t>work with the relevant managers to provide support for these cases. The breakdown of the remaining level 2 reasons are as follows:</w:t>
            </w:r>
          </w:p>
          <w:p w:rsidR="00921FC8" w:rsidRPr="00921FC8" w:rsidRDefault="00921FC8" w:rsidP="00AC7BB5">
            <w:pPr>
              <w:jc w:val="both"/>
              <w:rPr>
                <w:rFonts w:ascii="Arial" w:eastAsia="Calibri" w:hAnsi="Arial" w:cs="Arial"/>
                <w:bCs/>
                <w:sz w:val="12"/>
                <w:szCs w:val="12"/>
              </w:rPr>
            </w:pPr>
          </w:p>
          <w:tbl>
            <w:tblPr>
              <w:tblStyle w:val="TableGrid39"/>
              <w:tblW w:w="0" w:type="auto"/>
              <w:tblLayout w:type="fixed"/>
              <w:tblLook w:val="04A0" w:firstRow="1" w:lastRow="0" w:firstColumn="1" w:lastColumn="0" w:noHBand="0" w:noVBand="1"/>
            </w:tblPr>
            <w:tblGrid>
              <w:gridCol w:w="4141"/>
              <w:gridCol w:w="4394"/>
            </w:tblGrid>
            <w:tr w:rsidR="00AC7BB5" w:rsidRPr="00AC7BB5" w:rsidTr="00123998">
              <w:tc>
                <w:tcPr>
                  <w:tcW w:w="4141" w:type="dxa"/>
                  <w:shd w:val="clear" w:color="auto" w:fill="92D050"/>
                </w:tcPr>
                <w:p w:rsidR="00AC7BB5" w:rsidRPr="00AC7BB5" w:rsidRDefault="00AC7BB5" w:rsidP="00AC7BB5">
                  <w:pPr>
                    <w:jc w:val="both"/>
                    <w:rPr>
                      <w:rFonts w:ascii="Arial" w:eastAsia="Calibri" w:hAnsi="Arial" w:cs="Arial"/>
                      <w:b/>
                      <w:bCs/>
                    </w:rPr>
                  </w:pPr>
                  <w:r w:rsidRPr="00AC7BB5">
                    <w:rPr>
                      <w:rFonts w:ascii="Arial" w:eastAsia="Calibri" w:hAnsi="Arial" w:cs="Arial"/>
                      <w:b/>
                      <w:bCs/>
                    </w:rPr>
                    <w:t>Level 2 Reason</w:t>
                  </w:r>
                </w:p>
              </w:tc>
              <w:tc>
                <w:tcPr>
                  <w:tcW w:w="4394" w:type="dxa"/>
                  <w:shd w:val="clear" w:color="auto" w:fill="92D050"/>
                </w:tcPr>
                <w:p w:rsidR="00AC7BB5" w:rsidRPr="00AC7BB5" w:rsidRDefault="00AC7BB5" w:rsidP="00AC7BB5">
                  <w:pPr>
                    <w:jc w:val="both"/>
                    <w:rPr>
                      <w:rFonts w:ascii="Arial" w:eastAsia="Calibri" w:hAnsi="Arial" w:cs="Arial"/>
                      <w:bCs/>
                    </w:rPr>
                  </w:pPr>
                  <w:r w:rsidRPr="00AC7BB5">
                    <w:rPr>
                      <w:rFonts w:ascii="Arial" w:eastAsia="Calibri" w:hAnsi="Arial" w:cs="Arial"/>
                      <w:b/>
                      <w:bCs/>
                    </w:rPr>
                    <w:t xml:space="preserve">Number of Episodes </w:t>
                  </w:r>
                </w:p>
              </w:tc>
            </w:tr>
            <w:tr w:rsidR="00AC7BB5" w:rsidRPr="00AC7BB5" w:rsidTr="00123998">
              <w:tc>
                <w:tcPr>
                  <w:tcW w:w="4141" w:type="dxa"/>
                </w:tcPr>
                <w:p w:rsidR="00AC7BB5" w:rsidRPr="00AC7BB5" w:rsidRDefault="00AC7BB5" w:rsidP="00AC7BB5">
                  <w:pPr>
                    <w:jc w:val="both"/>
                    <w:rPr>
                      <w:rFonts w:ascii="Arial" w:eastAsia="Calibri" w:hAnsi="Arial" w:cs="Arial"/>
                      <w:bCs/>
                    </w:rPr>
                  </w:pPr>
                  <w:r w:rsidRPr="00AC7BB5">
                    <w:rPr>
                      <w:rFonts w:ascii="Arial" w:eastAsia="Calibri" w:hAnsi="Arial" w:cs="Arial"/>
                      <w:bCs/>
                    </w:rPr>
                    <w:t>Anxiety</w:t>
                  </w:r>
                </w:p>
              </w:tc>
              <w:tc>
                <w:tcPr>
                  <w:tcW w:w="4394" w:type="dxa"/>
                </w:tcPr>
                <w:p w:rsidR="00AC7BB5" w:rsidRPr="00AC7BB5" w:rsidRDefault="00AC7BB5" w:rsidP="00AC7BB5">
                  <w:pPr>
                    <w:jc w:val="both"/>
                    <w:rPr>
                      <w:rFonts w:ascii="Arial" w:eastAsia="Calibri" w:hAnsi="Arial" w:cs="Arial"/>
                      <w:bCs/>
                    </w:rPr>
                  </w:pPr>
                  <w:r w:rsidRPr="00AC7BB5">
                    <w:rPr>
                      <w:rFonts w:ascii="Arial" w:eastAsia="Calibri" w:hAnsi="Arial" w:cs="Arial"/>
                      <w:bCs/>
                    </w:rPr>
                    <w:t>10</w:t>
                  </w:r>
                </w:p>
              </w:tc>
            </w:tr>
            <w:tr w:rsidR="00AC7BB5" w:rsidRPr="00AC7BB5" w:rsidTr="00123998">
              <w:tc>
                <w:tcPr>
                  <w:tcW w:w="4141" w:type="dxa"/>
                </w:tcPr>
                <w:p w:rsidR="00AC7BB5" w:rsidRPr="00AC7BB5" w:rsidRDefault="00AC7BB5" w:rsidP="00AC7BB5">
                  <w:pPr>
                    <w:jc w:val="both"/>
                    <w:rPr>
                      <w:rFonts w:ascii="Arial" w:eastAsia="Calibri" w:hAnsi="Arial" w:cs="Arial"/>
                      <w:bCs/>
                    </w:rPr>
                  </w:pPr>
                  <w:r w:rsidRPr="00AC7BB5">
                    <w:rPr>
                      <w:rFonts w:ascii="Arial" w:eastAsia="Calibri" w:hAnsi="Arial" w:cs="Arial"/>
                      <w:bCs/>
                    </w:rPr>
                    <w:t>Stress</w:t>
                  </w:r>
                </w:p>
              </w:tc>
              <w:tc>
                <w:tcPr>
                  <w:tcW w:w="4394" w:type="dxa"/>
                </w:tcPr>
                <w:p w:rsidR="00AC7BB5" w:rsidRPr="00AC7BB5" w:rsidRDefault="00AC7BB5" w:rsidP="00AC7BB5">
                  <w:pPr>
                    <w:jc w:val="both"/>
                    <w:rPr>
                      <w:rFonts w:ascii="Arial" w:eastAsia="Calibri" w:hAnsi="Arial" w:cs="Arial"/>
                      <w:bCs/>
                    </w:rPr>
                  </w:pPr>
                  <w:r w:rsidRPr="00AC7BB5">
                    <w:rPr>
                      <w:rFonts w:ascii="Arial" w:eastAsia="Calibri" w:hAnsi="Arial" w:cs="Arial"/>
                      <w:bCs/>
                    </w:rPr>
                    <w:t>12</w:t>
                  </w:r>
                </w:p>
              </w:tc>
            </w:tr>
            <w:tr w:rsidR="00AC7BB5" w:rsidRPr="00AC7BB5" w:rsidTr="00123998">
              <w:tc>
                <w:tcPr>
                  <w:tcW w:w="4141" w:type="dxa"/>
                </w:tcPr>
                <w:p w:rsidR="00AC7BB5" w:rsidRPr="00AC7BB5" w:rsidRDefault="00AC7BB5" w:rsidP="00AC7BB5">
                  <w:pPr>
                    <w:jc w:val="both"/>
                    <w:rPr>
                      <w:rFonts w:ascii="Arial" w:eastAsia="Calibri" w:hAnsi="Arial" w:cs="Arial"/>
                      <w:bCs/>
                    </w:rPr>
                  </w:pPr>
                  <w:r w:rsidRPr="00AC7BB5">
                    <w:rPr>
                      <w:rFonts w:ascii="Arial" w:eastAsia="Calibri" w:hAnsi="Arial" w:cs="Arial"/>
                      <w:bCs/>
                    </w:rPr>
                    <w:t>Depression</w:t>
                  </w:r>
                </w:p>
              </w:tc>
              <w:tc>
                <w:tcPr>
                  <w:tcW w:w="4394" w:type="dxa"/>
                </w:tcPr>
                <w:p w:rsidR="00AC7BB5" w:rsidRPr="00AC7BB5" w:rsidRDefault="00AC7BB5" w:rsidP="00AC7BB5">
                  <w:pPr>
                    <w:jc w:val="both"/>
                    <w:rPr>
                      <w:rFonts w:ascii="Arial" w:eastAsia="Calibri" w:hAnsi="Arial" w:cs="Arial"/>
                      <w:bCs/>
                    </w:rPr>
                  </w:pPr>
                  <w:r w:rsidRPr="00AC7BB5">
                    <w:rPr>
                      <w:rFonts w:ascii="Arial" w:eastAsia="Calibri" w:hAnsi="Arial" w:cs="Arial"/>
                      <w:bCs/>
                    </w:rPr>
                    <w:t>1</w:t>
                  </w:r>
                </w:p>
              </w:tc>
            </w:tr>
            <w:tr w:rsidR="00AC7BB5" w:rsidRPr="00AC7BB5" w:rsidTr="00123998">
              <w:tc>
                <w:tcPr>
                  <w:tcW w:w="4141" w:type="dxa"/>
                </w:tcPr>
                <w:p w:rsidR="00AC7BB5" w:rsidRPr="00AC7BB5" w:rsidRDefault="00AC7BB5" w:rsidP="00AC7BB5">
                  <w:pPr>
                    <w:jc w:val="both"/>
                    <w:rPr>
                      <w:rFonts w:ascii="Arial" w:eastAsia="Calibri" w:hAnsi="Arial" w:cs="Arial"/>
                      <w:bCs/>
                    </w:rPr>
                  </w:pPr>
                  <w:r w:rsidRPr="00AC7BB5">
                    <w:rPr>
                      <w:rFonts w:ascii="Arial" w:eastAsia="Calibri" w:hAnsi="Arial" w:cs="Arial"/>
                      <w:bCs/>
                    </w:rPr>
                    <w:t>Panic Attacks</w:t>
                  </w:r>
                </w:p>
              </w:tc>
              <w:tc>
                <w:tcPr>
                  <w:tcW w:w="4394" w:type="dxa"/>
                </w:tcPr>
                <w:p w:rsidR="00AC7BB5" w:rsidRPr="00AC7BB5" w:rsidRDefault="00AC7BB5" w:rsidP="00AC7BB5">
                  <w:pPr>
                    <w:jc w:val="both"/>
                    <w:rPr>
                      <w:rFonts w:ascii="Arial" w:eastAsia="Calibri" w:hAnsi="Arial" w:cs="Arial"/>
                      <w:bCs/>
                    </w:rPr>
                  </w:pPr>
                  <w:r w:rsidRPr="00AC7BB5">
                    <w:rPr>
                      <w:rFonts w:ascii="Arial" w:eastAsia="Calibri" w:hAnsi="Arial" w:cs="Arial"/>
                      <w:bCs/>
                    </w:rPr>
                    <w:t>1</w:t>
                  </w:r>
                </w:p>
              </w:tc>
            </w:tr>
            <w:tr w:rsidR="00AC7BB5" w:rsidRPr="00AC7BB5" w:rsidTr="00123998">
              <w:tc>
                <w:tcPr>
                  <w:tcW w:w="4141" w:type="dxa"/>
                </w:tcPr>
                <w:p w:rsidR="00AC7BB5" w:rsidRPr="00AC7BB5" w:rsidRDefault="00AC7BB5" w:rsidP="00AC7BB5">
                  <w:pPr>
                    <w:jc w:val="both"/>
                    <w:rPr>
                      <w:rFonts w:ascii="Arial" w:eastAsia="Calibri" w:hAnsi="Arial" w:cs="Arial"/>
                      <w:bCs/>
                    </w:rPr>
                  </w:pPr>
                  <w:r w:rsidRPr="00AC7BB5">
                    <w:rPr>
                      <w:rFonts w:ascii="Arial" w:eastAsia="Calibri" w:hAnsi="Arial" w:cs="Arial"/>
                      <w:bCs/>
                    </w:rPr>
                    <w:t>Not Recorded</w:t>
                  </w:r>
                </w:p>
              </w:tc>
              <w:tc>
                <w:tcPr>
                  <w:tcW w:w="4394" w:type="dxa"/>
                </w:tcPr>
                <w:p w:rsidR="00AC7BB5" w:rsidRPr="00AC7BB5" w:rsidRDefault="00AC7BB5" w:rsidP="00AC7BB5">
                  <w:pPr>
                    <w:jc w:val="both"/>
                    <w:rPr>
                      <w:rFonts w:ascii="Arial" w:eastAsia="Calibri" w:hAnsi="Arial" w:cs="Arial"/>
                      <w:bCs/>
                    </w:rPr>
                  </w:pPr>
                  <w:r w:rsidRPr="00AC7BB5">
                    <w:rPr>
                      <w:rFonts w:ascii="Arial" w:eastAsia="Calibri" w:hAnsi="Arial" w:cs="Arial"/>
                      <w:bCs/>
                    </w:rPr>
                    <w:t>9</w:t>
                  </w:r>
                </w:p>
              </w:tc>
            </w:tr>
          </w:tbl>
          <w:p w:rsidR="00AC7BB5" w:rsidRDefault="00AC7BB5" w:rsidP="00AC7BB5">
            <w:pPr>
              <w:jc w:val="both"/>
              <w:rPr>
                <w:rFonts w:ascii="Arial" w:eastAsia="Calibri" w:hAnsi="Arial" w:cs="Arial"/>
                <w:bCs/>
                <w:sz w:val="12"/>
                <w:szCs w:val="12"/>
              </w:rPr>
            </w:pPr>
          </w:p>
          <w:p w:rsidR="00DA1D5E" w:rsidRPr="00921FC8" w:rsidRDefault="00DA1D5E" w:rsidP="00AC7BB5">
            <w:pPr>
              <w:jc w:val="both"/>
              <w:rPr>
                <w:rFonts w:ascii="Arial" w:eastAsia="Calibri" w:hAnsi="Arial" w:cs="Arial"/>
                <w:bCs/>
                <w:sz w:val="12"/>
                <w:szCs w:val="12"/>
              </w:rPr>
            </w:pPr>
          </w:p>
          <w:p w:rsidR="00AC7BB5" w:rsidRDefault="00AC7BB5" w:rsidP="00921FC8">
            <w:pPr>
              <w:jc w:val="both"/>
              <w:rPr>
                <w:rFonts w:ascii="Arial" w:eastAsia="Calibri" w:hAnsi="Arial" w:cs="Arial"/>
                <w:bCs/>
                <w:sz w:val="24"/>
                <w:szCs w:val="24"/>
              </w:rPr>
            </w:pPr>
            <w:r w:rsidRPr="008E708A">
              <w:rPr>
                <w:rFonts w:ascii="Arial" w:eastAsia="Calibri" w:hAnsi="Arial" w:cs="Arial"/>
                <w:bCs/>
                <w:sz w:val="24"/>
                <w:szCs w:val="24"/>
              </w:rPr>
              <w:t>The third highest reason for absence in May 2020 was Gastrointestinal Problems with 16 episodes. The majority of these absence episodes were from the Additional Clinical Services staff group with 6 episodes and the Administrative and Clerical staff group with 5 episodes. There were only 2 episodes in both the Nursing and Midwifery and Allied Health Professionals staff groups and only 1 episode in the Additional, Professional, Scientific and Technical staff group.</w:t>
            </w:r>
          </w:p>
          <w:p w:rsidR="00921FC8" w:rsidRPr="00921FC8" w:rsidRDefault="00921FC8" w:rsidP="00921FC8">
            <w:pPr>
              <w:jc w:val="both"/>
              <w:rPr>
                <w:rFonts w:ascii="Arial" w:eastAsia="Calibri" w:hAnsi="Arial" w:cs="Arial"/>
                <w:b/>
                <w:bCs/>
                <w:sz w:val="12"/>
                <w:szCs w:val="12"/>
                <w:highlight w:val="yellow"/>
              </w:rPr>
            </w:pPr>
          </w:p>
        </w:tc>
      </w:tr>
      <w:tr w:rsidR="00AC7BB5" w:rsidRPr="00AC7BB5" w:rsidTr="00123998">
        <w:trPr>
          <w:trHeight w:val="1000"/>
        </w:trPr>
        <w:tc>
          <w:tcPr>
            <w:tcW w:w="9924" w:type="dxa"/>
            <w:gridSpan w:val="5"/>
          </w:tcPr>
          <w:p w:rsidR="00921FC8" w:rsidRPr="00921FC8" w:rsidRDefault="00921FC8" w:rsidP="00921FC8">
            <w:pPr>
              <w:spacing w:before="160" w:after="160"/>
              <w:contextualSpacing/>
              <w:jc w:val="both"/>
              <w:rPr>
                <w:rFonts w:ascii="Arial" w:hAnsi="Arial" w:cs="Arial"/>
                <w:b/>
                <w:bCs/>
                <w:sz w:val="12"/>
                <w:szCs w:val="12"/>
                <w:lang w:val="en-US" w:eastAsia="en-GB"/>
              </w:rPr>
            </w:pPr>
          </w:p>
          <w:p w:rsidR="001C1539" w:rsidRDefault="001C1539" w:rsidP="00921FC8">
            <w:pPr>
              <w:spacing w:before="160" w:after="160"/>
              <w:contextualSpacing/>
              <w:jc w:val="both"/>
              <w:rPr>
                <w:rFonts w:ascii="Arial" w:hAnsi="Arial" w:cs="Arial"/>
                <w:b/>
                <w:bCs/>
                <w:sz w:val="24"/>
                <w:szCs w:val="24"/>
                <w:lang w:val="en-US" w:eastAsia="en-GB"/>
              </w:rPr>
            </w:pPr>
            <w:r w:rsidRPr="008E708A">
              <w:rPr>
                <w:rFonts w:ascii="Arial" w:hAnsi="Arial" w:cs="Arial"/>
                <w:b/>
                <w:bCs/>
                <w:sz w:val="24"/>
                <w:szCs w:val="24"/>
                <w:lang w:val="en-US" w:eastAsia="en-GB"/>
              </w:rPr>
              <w:t>Action Taken to improve compliance:</w:t>
            </w:r>
          </w:p>
          <w:p w:rsidR="00921FC8" w:rsidRPr="00921FC8" w:rsidRDefault="00921FC8" w:rsidP="00921FC8">
            <w:pPr>
              <w:spacing w:before="160" w:after="160"/>
              <w:contextualSpacing/>
              <w:jc w:val="both"/>
              <w:rPr>
                <w:rFonts w:ascii="Arial" w:hAnsi="Arial" w:cs="Arial"/>
                <w:b/>
                <w:bCs/>
                <w:sz w:val="12"/>
                <w:szCs w:val="12"/>
                <w:lang w:val="en-US" w:eastAsia="en-GB"/>
              </w:rPr>
            </w:pPr>
          </w:p>
          <w:p w:rsidR="00AC7BB5" w:rsidRPr="008E708A" w:rsidRDefault="00AC7BB5" w:rsidP="00DA1D5E">
            <w:pPr>
              <w:numPr>
                <w:ilvl w:val="0"/>
                <w:numId w:val="28"/>
              </w:numPr>
              <w:ind w:left="318" w:hanging="318"/>
              <w:contextualSpacing/>
              <w:jc w:val="both"/>
              <w:rPr>
                <w:rFonts w:ascii="Arial" w:eastAsia="Calibri" w:hAnsi="Arial" w:cs="Arial"/>
                <w:b/>
                <w:bCs/>
                <w:sz w:val="24"/>
                <w:szCs w:val="24"/>
              </w:rPr>
            </w:pPr>
            <w:r w:rsidRPr="008E708A">
              <w:rPr>
                <w:rFonts w:ascii="Arial" w:eastAsia="Calibri" w:hAnsi="Arial" w:cs="Arial"/>
                <w:bCs/>
                <w:sz w:val="24"/>
                <w:szCs w:val="24"/>
              </w:rPr>
              <w:t>The Workforce and OD</w:t>
            </w:r>
            <w:r w:rsidR="001C1539" w:rsidRPr="008E708A">
              <w:rPr>
                <w:rFonts w:ascii="Arial" w:eastAsia="Calibri" w:hAnsi="Arial" w:cs="Arial"/>
                <w:bCs/>
                <w:sz w:val="24"/>
                <w:szCs w:val="24"/>
              </w:rPr>
              <w:t xml:space="preserve"> (WOD)</w:t>
            </w:r>
            <w:r w:rsidRPr="008E708A">
              <w:rPr>
                <w:rFonts w:ascii="Arial" w:eastAsia="Calibri" w:hAnsi="Arial" w:cs="Arial"/>
                <w:bCs/>
                <w:sz w:val="24"/>
                <w:szCs w:val="24"/>
              </w:rPr>
              <w:t xml:space="preserve"> team are continuing to input all absences onto ESR to help support managers and enable them to focus on other dutie</w:t>
            </w:r>
            <w:r w:rsidR="001C1539" w:rsidRPr="008E708A">
              <w:rPr>
                <w:rFonts w:ascii="Arial" w:eastAsia="Calibri" w:hAnsi="Arial" w:cs="Arial"/>
                <w:bCs/>
                <w:sz w:val="24"/>
                <w:szCs w:val="24"/>
              </w:rPr>
              <w:t>s. A</w:t>
            </w:r>
            <w:r w:rsidRPr="008E708A">
              <w:rPr>
                <w:rFonts w:ascii="Arial" w:eastAsia="Calibri" w:hAnsi="Arial" w:cs="Arial"/>
                <w:bCs/>
                <w:sz w:val="24"/>
                <w:szCs w:val="24"/>
              </w:rPr>
              <w:t xml:space="preserve"> reminder has been sent to managers to send Return to Work information </w:t>
            </w:r>
            <w:r w:rsidR="001C1539" w:rsidRPr="008E708A">
              <w:rPr>
                <w:rFonts w:ascii="Arial" w:eastAsia="Calibri" w:hAnsi="Arial" w:cs="Arial"/>
                <w:bCs/>
                <w:sz w:val="24"/>
                <w:szCs w:val="24"/>
              </w:rPr>
              <w:t>to WOD as t</w:t>
            </w:r>
            <w:r w:rsidRPr="008E708A">
              <w:rPr>
                <w:rFonts w:ascii="Arial" w:eastAsia="Calibri" w:hAnsi="Arial" w:cs="Arial"/>
                <w:bCs/>
                <w:sz w:val="24"/>
                <w:szCs w:val="24"/>
              </w:rPr>
              <w:t xml:space="preserve">hese have </w:t>
            </w:r>
            <w:r w:rsidR="001C1539" w:rsidRPr="008E708A">
              <w:rPr>
                <w:rFonts w:ascii="Arial" w:eastAsia="Calibri" w:hAnsi="Arial" w:cs="Arial"/>
                <w:bCs/>
                <w:sz w:val="24"/>
                <w:szCs w:val="24"/>
              </w:rPr>
              <w:t>declined; however this may be d</w:t>
            </w:r>
            <w:r w:rsidRPr="008E708A">
              <w:rPr>
                <w:rFonts w:ascii="Arial" w:eastAsia="Calibri" w:hAnsi="Arial" w:cs="Arial"/>
                <w:bCs/>
                <w:sz w:val="24"/>
                <w:szCs w:val="24"/>
              </w:rPr>
              <w:t>ue to managers not advising WOD of their completion.</w:t>
            </w:r>
          </w:p>
          <w:p w:rsidR="00AC7BB5" w:rsidRPr="008E708A" w:rsidRDefault="00AC7BB5" w:rsidP="00DA1D5E">
            <w:pPr>
              <w:numPr>
                <w:ilvl w:val="0"/>
                <w:numId w:val="28"/>
              </w:numPr>
              <w:ind w:left="318" w:hanging="318"/>
              <w:contextualSpacing/>
              <w:jc w:val="both"/>
              <w:rPr>
                <w:rFonts w:ascii="Arial" w:eastAsia="Calibri" w:hAnsi="Arial" w:cs="Arial"/>
                <w:b/>
                <w:bCs/>
                <w:sz w:val="24"/>
                <w:szCs w:val="24"/>
              </w:rPr>
            </w:pPr>
            <w:r w:rsidRPr="008E708A">
              <w:rPr>
                <w:rFonts w:ascii="Arial" w:eastAsia="Calibri" w:hAnsi="Arial" w:cs="Arial"/>
                <w:bCs/>
                <w:sz w:val="24"/>
                <w:szCs w:val="24"/>
              </w:rPr>
              <w:t xml:space="preserve">Managers are being supported to refer staff for Covid-19 testing and any requests are being actioned in a timely manner to ensure staff are tested as soon as possible </w:t>
            </w:r>
            <w:r w:rsidR="001C1539" w:rsidRPr="008E708A">
              <w:rPr>
                <w:rFonts w:ascii="Arial" w:eastAsia="Calibri" w:hAnsi="Arial" w:cs="Arial"/>
                <w:bCs/>
                <w:sz w:val="24"/>
                <w:szCs w:val="24"/>
              </w:rPr>
              <w:t>so that they can</w:t>
            </w:r>
            <w:r w:rsidRPr="008E708A">
              <w:rPr>
                <w:rFonts w:ascii="Arial" w:eastAsia="Calibri" w:hAnsi="Arial" w:cs="Arial"/>
                <w:bCs/>
                <w:sz w:val="24"/>
                <w:szCs w:val="24"/>
              </w:rPr>
              <w:t xml:space="preserve"> return to work sooner if their result comes back negative.  Antibody testing started at CCC on Monday 8</w:t>
            </w:r>
            <w:r w:rsidRPr="008E708A">
              <w:rPr>
                <w:rFonts w:ascii="Arial" w:eastAsia="Calibri" w:hAnsi="Arial" w:cs="Arial"/>
                <w:bCs/>
                <w:sz w:val="24"/>
                <w:szCs w:val="24"/>
                <w:vertAlign w:val="superscript"/>
              </w:rPr>
              <w:t>th</w:t>
            </w:r>
            <w:r w:rsidRPr="008E708A">
              <w:rPr>
                <w:rFonts w:ascii="Arial" w:eastAsia="Calibri" w:hAnsi="Arial" w:cs="Arial"/>
                <w:bCs/>
                <w:sz w:val="24"/>
                <w:szCs w:val="24"/>
              </w:rPr>
              <w:t xml:space="preserve"> June 2020. </w:t>
            </w:r>
          </w:p>
          <w:p w:rsidR="00AC7BB5" w:rsidRPr="008E708A" w:rsidRDefault="00AC7BB5" w:rsidP="00DA1D5E">
            <w:pPr>
              <w:numPr>
                <w:ilvl w:val="0"/>
                <w:numId w:val="28"/>
              </w:numPr>
              <w:ind w:left="318" w:hanging="318"/>
              <w:contextualSpacing/>
              <w:jc w:val="both"/>
              <w:rPr>
                <w:sz w:val="24"/>
                <w:szCs w:val="24"/>
              </w:rPr>
            </w:pPr>
            <w:r w:rsidRPr="008E708A">
              <w:rPr>
                <w:rFonts w:ascii="Arial" w:eastAsia="Calibri" w:hAnsi="Arial" w:cs="Arial"/>
                <w:bCs/>
                <w:sz w:val="24"/>
                <w:szCs w:val="24"/>
              </w:rPr>
              <w:t xml:space="preserve">Following agreement at the Strategic Partnership Forum in May, managers can now </w:t>
            </w:r>
            <w:r w:rsidRPr="008E708A">
              <w:rPr>
                <w:rFonts w:ascii="Arial" w:hAnsi="Arial" w:cs="Arial"/>
                <w:sz w:val="24"/>
                <w:szCs w:val="24"/>
              </w:rPr>
              <w:t>continue with their sickness meetings and issuing of stages where appropriate. This replaces previous guidance that the issuing of stages should be paused during the Coronavirus pandemic.</w:t>
            </w:r>
          </w:p>
          <w:p w:rsidR="00693C54" w:rsidRPr="008E708A" w:rsidRDefault="00AC7BB5" w:rsidP="00DA1D5E">
            <w:pPr>
              <w:numPr>
                <w:ilvl w:val="0"/>
                <w:numId w:val="28"/>
              </w:numPr>
              <w:ind w:left="318" w:hanging="318"/>
              <w:contextualSpacing/>
              <w:jc w:val="both"/>
              <w:rPr>
                <w:sz w:val="24"/>
                <w:szCs w:val="24"/>
              </w:rPr>
            </w:pPr>
            <w:r w:rsidRPr="008E708A">
              <w:rPr>
                <w:rFonts w:ascii="Arial" w:hAnsi="Arial" w:cs="Arial"/>
                <w:sz w:val="24"/>
                <w:szCs w:val="24"/>
              </w:rPr>
              <w:t xml:space="preserve">The </w:t>
            </w:r>
            <w:r w:rsidR="001C1539" w:rsidRPr="008E708A">
              <w:rPr>
                <w:rFonts w:ascii="Arial" w:hAnsi="Arial" w:cs="Arial"/>
                <w:sz w:val="24"/>
                <w:szCs w:val="24"/>
              </w:rPr>
              <w:t>WOD</w:t>
            </w:r>
            <w:r w:rsidRPr="008E708A">
              <w:rPr>
                <w:rFonts w:ascii="Arial" w:hAnsi="Arial" w:cs="Arial"/>
                <w:sz w:val="24"/>
                <w:szCs w:val="24"/>
              </w:rPr>
              <w:t xml:space="preserve"> team have updated the Covid-19 vulnerable groups risk assessment form in order to make this a more comprehensive tool for managers and to reflect new guidance from central government. This will support the appropriate measures being put in place to miti</w:t>
            </w:r>
            <w:r w:rsidR="00693C54" w:rsidRPr="008E708A">
              <w:rPr>
                <w:rFonts w:ascii="Arial" w:hAnsi="Arial" w:cs="Arial"/>
                <w:sz w:val="24"/>
                <w:szCs w:val="24"/>
              </w:rPr>
              <w:t>gate risks for vulnerable staff</w:t>
            </w:r>
          </w:p>
        </w:tc>
      </w:tr>
      <w:tr w:rsidR="00AC7BB5" w:rsidRPr="00AC7BB5" w:rsidTr="00123998">
        <w:trPr>
          <w:trHeight w:val="425"/>
        </w:trPr>
        <w:tc>
          <w:tcPr>
            <w:tcW w:w="3660" w:type="dxa"/>
            <w:vAlign w:val="center"/>
          </w:tcPr>
          <w:p w:rsidR="00AC7BB5" w:rsidRPr="008E708A" w:rsidRDefault="00AC7BB5" w:rsidP="00693C54">
            <w:pPr>
              <w:rPr>
                <w:rFonts w:ascii="Arial" w:hAnsi="Arial" w:cs="Arial"/>
                <w:b/>
                <w:bCs/>
                <w:sz w:val="24"/>
                <w:szCs w:val="24"/>
                <w:lang w:val="en-US" w:eastAsia="en-GB"/>
              </w:rPr>
            </w:pPr>
            <w:r w:rsidRPr="008E708A">
              <w:rPr>
                <w:rFonts w:ascii="Arial" w:hAnsi="Arial" w:cs="Arial"/>
                <w:b/>
                <w:bCs/>
                <w:sz w:val="24"/>
                <w:szCs w:val="24"/>
                <w:lang w:val="en-US" w:eastAsia="en-GB"/>
              </w:rPr>
              <w:t>Expected date of compliance</w:t>
            </w:r>
          </w:p>
        </w:tc>
        <w:tc>
          <w:tcPr>
            <w:tcW w:w="6264" w:type="dxa"/>
            <w:gridSpan w:val="4"/>
            <w:vAlign w:val="center"/>
          </w:tcPr>
          <w:p w:rsidR="00AC7BB5" w:rsidRPr="008E708A" w:rsidRDefault="00AC7BB5" w:rsidP="00693C54">
            <w:pPr>
              <w:rPr>
                <w:rFonts w:ascii="Arial" w:hAnsi="Arial" w:cs="Arial"/>
                <w:sz w:val="24"/>
                <w:szCs w:val="24"/>
                <w:lang w:val="en-US"/>
              </w:rPr>
            </w:pPr>
            <w:r w:rsidRPr="008E708A">
              <w:rPr>
                <w:rFonts w:ascii="Arial" w:hAnsi="Arial" w:cs="Arial"/>
                <w:sz w:val="24"/>
                <w:szCs w:val="24"/>
                <w:lang w:val="en-US"/>
              </w:rPr>
              <w:t>October 2020</w:t>
            </w:r>
          </w:p>
        </w:tc>
      </w:tr>
      <w:tr w:rsidR="00AC7BB5" w:rsidRPr="00AC7BB5" w:rsidTr="00123998">
        <w:trPr>
          <w:trHeight w:val="402"/>
        </w:trPr>
        <w:tc>
          <w:tcPr>
            <w:tcW w:w="3660" w:type="dxa"/>
            <w:vAlign w:val="center"/>
          </w:tcPr>
          <w:p w:rsidR="00AC7BB5" w:rsidRPr="008E708A" w:rsidRDefault="00AC7BB5" w:rsidP="00693C54">
            <w:pPr>
              <w:rPr>
                <w:rFonts w:ascii="Arial" w:hAnsi="Arial" w:cs="Arial"/>
                <w:b/>
                <w:bCs/>
                <w:sz w:val="24"/>
                <w:szCs w:val="24"/>
                <w:lang w:val="en-US" w:eastAsia="en-GB"/>
              </w:rPr>
            </w:pPr>
            <w:r w:rsidRPr="008E708A">
              <w:rPr>
                <w:rFonts w:ascii="Arial" w:hAnsi="Arial" w:cs="Arial"/>
                <w:b/>
                <w:bCs/>
                <w:sz w:val="24"/>
                <w:szCs w:val="24"/>
                <w:lang w:val="en-US" w:eastAsia="en-GB"/>
              </w:rPr>
              <w:t>Escalation route</w:t>
            </w:r>
          </w:p>
        </w:tc>
        <w:tc>
          <w:tcPr>
            <w:tcW w:w="6264" w:type="dxa"/>
            <w:gridSpan w:val="4"/>
            <w:vAlign w:val="center"/>
          </w:tcPr>
          <w:p w:rsidR="00921FC8" w:rsidRDefault="00AC7BB5" w:rsidP="00693C54">
            <w:pPr>
              <w:rPr>
                <w:rFonts w:ascii="Arial" w:hAnsi="Arial" w:cs="Arial"/>
                <w:sz w:val="24"/>
                <w:szCs w:val="24"/>
                <w:lang w:val="en-US" w:eastAsia="en-GB"/>
              </w:rPr>
            </w:pPr>
            <w:r w:rsidRPr="008E708A">
              <w:rPr>
                <w:rFonts w:ascii="Arial" w:hAnsi="Arial" w:cs="Arial"/>
                <w:sz w:val="24"/>
                <w:szCs w:val="24"/>
                <w:lang w:val="en-US" w:eastAsia="en-GB"/>
              </w:rPr>
              <w:t>Directorates, WOD Committee, Quality Committee</w:t>
            </w:r>
            <w:r w:rsidR="008A3D9C" w:rsidRPr="008E708A">
              <w:rPr>
                <w:rFonts w:ascii="Arial" w:hAnsi="Arial" w:cs="Arial"/>
                <w:sz w:val="24"/>
                <w:szCs w:val="24"/>
                <w:lang w:val="en-US" w:eastAsia="en-GB"/>
              </w:rPr>
              <w:t xml:space="preserve">, </w:t>
            </w:r>
          </w:p>
          <w:p w:rsidR="00AC7BB5" w:rsidRPr="008E708A" w:rsidRDefault="001C1539" w:rsidP="00693C54">
            <w:pPr>
              <w:rPr>
                <w:rFonts w:ascii="Arial" w:hAnsi="Arial" w:cs="Arial"/>
                <w:sz w:val="24"/>
                <w:szCs w:val="24"/>
                <w:lang w:val="en-US" w:eastAsia="en-GB"/>
              </w:rPr>
            </w:pPr>
            <w:r w:rsidRPr="008E708A">
              <w:rPr>
                <w:rFonts w:ascii="Arial" w:hAnsi="Arial" w:cs="Arial"/>
                <w:sz w:val="24"/>
                <w:szCs w:val="24"/>
                <w:lang w:val="en-US" w:eastAsia="en-GB"/>
              </w:rPr>
              <w:t>Board</w:t>
            </w:r>
            <w:r w:rsidR="008A3D9C" w:rsidRPr="008E708A">
              <w:rPr>
                <w:rFonts w:ascii="Arial" w:hAnsi="Arial" w:cs="Arial"/>
                <w:sz w:val="24"/>
                <w:szCs w:val="24"/>
                <w:lang w:val="en-US" w:eastAsia="en-GB"/>
              </w:rPr>
              <w:t xml:space="preserve"> of Directors</w:t>
            </w:r>
          </w:p>
        </w:tc>
      </w:tr>
      <w:tr w:rsidR="00AC7BB5" w:rsidRPr="00AC7BB5" w:rsidTr="00123998">
        <w:trPr>
          <w:trHeight w:val="425"/>
        </w:trPr>
        <w:tc>
          <w:tcPr>
            <w:tcW w:w="3660" w:type="dxa"/>
            <w:vAlign w:val="center"/>
          </w:tcPr>
          <w:p w:rsidR="00AC7BB5" w:rsidRPr="008E708A" w:rsidRDefault="00AC7BB5" w:rsidP="00693C54">
            <w:pPr>
              <w:rPr>
                <w:rFonts w:ascii="Arial" w:hAnsi="Arial" w:cs="Arial"/>
                <w:b/>
                <w:bCs/>
                <w:sz w:val="24"/>
                <w:szCs w:val="24"/>
                <w:lang w:val="en-US" w:eastAsia="en-GB"/>
              </w:rPr>
            </w:pPr>
            <w:r w:rsidRPr="008E708A">
              <w:rPr>
                <w:rFonts w:ascii="Arial" w:hAnsi="Arial" w:cs="Arial"/>
                <w:b/>
                <w:bCs/>
                <w:sz w:val="24"/>
                <w:szCs w:val="24"/>
                <w:lang w:val="en-US" w:eastAsia="en-GB"/>
              </w:rPr>
              <w:t>Executive Lead</w:t>
            </w:r>
          </w:p>
        </w:tc>
        <w:tc>
          <w:tcPr>
            <w:tcW w:w="6264" w:type="dxa"/>
            <w:gridSpan w:val="4"/>
            <w:vAlign w:val="center"/>
          </w:tcPr>
          <w:p w:rsidR="00AC7BB5" w:rsidRPr="008E708A" w:rsidRDefault="00AC7BB5" w:rsidP="00693C54">
            <w:pPr>
              <w:rPr>
                <w:rFonts w:ascii="Arial" w:hAnsi="Arial" w:cs="Arial"/>
                <w:sz w:val="24"/>
                <w:szCs w:val="24"/>
                <w:lang w:val="en-US" w:eastAsia="en-GB"/>
              </w:rPr>
            </w:pPr>
            <w:r w:rsidRPr="008E708A">
              <w:rPr>
                <w:rFonts w:ascii="Arial" w:hAnsi="Arial" w:cs="Arial"/>
                <w:sz w:val="24"/>
                <w:szCs w:val="24"/>
                <w:lang w:val="en-US" w:eastAsia="en-GB"/>
              </w:rPr>
              <w:t xml:space="preserve">Jayne Shaw, Director of Workforce &amp; OD </w:t>
            </w:r>
          </w:p>
        </w:tc>
      </w:tr>
    </w:tbl>
    <w:p w:rsidR="00504DEB" w:rsidRDefault="00504DEB" w:rsidP="00AC7BB5"/>
    <w:tbl>
      <w:tblPr>
        <w:tblStyle w:val="TableGrid42"/>
        <w:tblpPr w:leftFromText="180" w:rightFromText="180" w:vertAnchor="text" w:horzAnchor="margin" w:tblpX="-318" w:tblpY="-332"/>
        <w:tblW w:w="0" w:type="auto"/>
        <w:tblLook w:val="04A0" w:firstRow="1" w:lastRow="0" w:firstColumn="1" w:lastColumn="0" w:noHBand="0" w:noVBand="1"/>
      </w:tblPr>
      <w:tblGrid>
        <w:gridCol w:w="3403"/>
        <w:gridCol w:w="284"/>
        <w:gridCol w:w="1134"/>
        <w:gridCol w:w="1134"/>
        <w:gridCol w:w="1134"/>
        <w:gridCol w:w="2800"/>
      </w:tblGrid>
      <w:tr w:rsidR="00123998" w:rsidRPr="00123998" w:rsidTr="00123998">
        <w:trPr>
          <w:trHeight w:val="557"/>
        </w:trPr>
        <w:tc>
          <w:tcPr>
            <w:tcW w:w="3687" w:type="dxa"/>
            <w:gridSpan w:val="2"/>
            <w:vMerge w:val="restart"/>
            <w:shd w:val="clear" w:color="auto" w:fill="548DD4" w:themeFill="text2" w:themeFillTint="99"/>
            <w:vAlign w:val="center"/>
          </w:tcPr>
          <w:p w:rsidR="00123998" w:rsidRPr="00123998" w:rsidRDefault="00123998" w:rsidP="00123998">
            <w:pPr>
              <w:rPr>
                <w:rFonts w:ascii="Arial" w:eastAsia="Calibri" w:hAnsi="Arial" w:cs="Arial"/>
                <w:b/>
                <w:bCs/>
                <w:sz w:val="28"/>
                <w:szCs w:val="24"/>
              </w:rPr>
            </w:pPr>
            <w:r w:rsidRPr="00123998">
              <w:rPr>
                <w:rFonts w:ascii="Arial" w:hAnsi="Arial" w:cs="Arial"/>
                <w:b/>
                <w:bCs/>
                <w:color w:val="FFFFFF"/>
                <w:sz w:val="20"/>
                <w:szCs w:val="20"/>
                <w:lang w:val="en-US"/>
              </w:rPr>
              <w:lastRenderedPageBreak/>
              <w:t>Staff Turnover</w:t>
            </w:r>
          </w:p>
        </w:tc>
        <w:tc>
          <w:tcPr>
            <w:tcW w:w="1134" w:type="dxa"/>
            <w:vAlign w:val="center"/>
          </w:tcPr>
          <w:p w:rsidR="00123998" w:rsidRPr="00123998" w:rsidRDefault="00123998" w:rsidP="00123998">
            <w:pPr>
              <w:jc w:val="center"/>
              <w:rPr>
                <w:rFonts w:ascii="Arial" w:hAnsi="Arial" w:cs="Arial"/>
                <w:b/>
                <w:bCs/>
                <w:sz w:val="20"/>
                <w:szCs w:val="20"/>
                <w:lang w:val="en-US"/>
              </w:rPr>
            </w:pPr>
            <w:r w:rsidRPr="00123998">
              <w:rPr>
                <w:rFonts w:ascii="Arial" w:hAnsi="Arial" w:cs="Arial"/>
                <w:b/>
                <w:bCs/>
                <w:sz w:val="20"/>
                <w:szCs w:val="20"/>
                <w:lang w:val="en-US"/>
              </w:rPr>
              <w:t>Target</w:t>
            </w:r>
          </w:p>
        </w:tc>
        <w:tc>
          <w:tcPr>
            <w:tcW w:w="1134" w:type="dxa"/>
            <w:vAlign w:val="center"/>
          </w:tcPr>
          <w:p w:rsidR="00123998" w:rsidRPr="00123998" w:rsidRDefault="00123998" w:rsidP="00123998">
            <w:pPr>
              <w:jc w:val="center"/>
              <w:rPr>
                <w:rFonts w:ascii="Arial" w:hAnsi="Arial" w:cs="Arial"/>
                <w:b/>
                <w:bCs/>
                <w:sz w:val="20"/>
                <w:szCs w:val="20"/>
                <w:lang w:val="en-US"/>
              </w:rPr>
            </w:pPr>
            <w:r w:rsidRPr="00123998">
              <w:rPr>
                <w:rFonts w:ascii="Arial" w:hAnsi="Arial" w:cs="Arial"/>
                <w:b/>
                <w:bCs/>
                <w:sz w:val="20"/>
                <w:szCs w:val="20"/>
                <w:lang w:val="en-US"/>
              </w:rPr>
              <w:t>May 20</w:t>
            </w:r>
          </w:p>
          <w:p w:rsidR="00123998" w:rsidRPr="00123998" w:rsidRDefault="00123998" w:rsidP="00123998">
            <w:pPr>
              <w:jc w:val="center"/>
              <w:rPr>
                <w:rFonts w:ascii="Arial" w:hAnsi="Arial" w:cs="Arial"/>
                <w:bCs/>
                <w:sz w:val="20"/>
                <w:szCs w:val="20"/>
                <w:lang w:val="en-US"/>
              </w:rPr>
            </w:pPr>
            <w:r w:rsidRPr="00123998">
              <w:rPr>
                <w:rFonts w:ascii="Arial" w:hAnsi="Arial" w:cs="Arial"/>
                <w:bCs/>
                <w:sz w:val="20"/>
                <w:szCs w:val="20"/>
                <w:lang w:val="en-US"/>
              </w:rPr>
              <w:t>(in month)</w:t>
            </w:r>
          </w:p>
        </w:tc>
        <w:tc>
          <w:tcPr>
            <w:tcW w:w="1134" w:type="dxa"/>
            <w:vAlign w:val="center"/>
          </w:tcPr>
          <w:p w:rsidR="00123998" w:rsidRPr="00123998" w:rsidRDefault="00123998" w:rsidP="00123998">
            <w:pPr>
              <w:jc w:val="center"/>
              <w:rPr>
                <w:rFonts w:ascii="Arial" w:hAnsi="Arial" w:cs="Arial"/>
                <w:b/>
                <w:bCs/>
                <w:sz w:val="20"/>
                <w:szCs w:val="20"/>
                <w:lang w:val="en-US"/>
              </w:rPr>
            </w:pPr>
            <w:r w:rsidRPr="00123998">
              <w:rPr>
                <w:rFonts w:ascii="Arial" w:hAnsi="Arial" w:cs="Arial"/>
                <w:b/>
                <w:bCs/>
                <w:sz w:val="20"/>
                <w:szCs w:val="20"/>
                <w:lang w:val="en-US"/>
              </w:rPr>
              <w:t>12 month rolling</w:t>
            </w:r>
          </w:p>
        </w:tc>
        <w:tc>
          <w:tcPr>
            <w:tcW w:w="2800" w:type="dxa"/>
          </w:tcPr>
          <w:p w:rsidR="00123998" w:rsidRPr="00123998" w:rsidRDefault="00123998" w:rsidP="00123998">
            <w:pPr>
              <w:jc w:val="center"/>
              <w:rPr>
                <w:rFonts w:ascii="Arial" w:eastAsia="Calibri" w:hAnsi="Arial" w:cs="Arial"/>
                <w:b/>
                <w:bCs/>
                <w:sz w:val="20"/>
                <w:szCs w:val="24"/>
              </w:rPr>
            </w:pPr>
            <w:r w:rsidRPr="00123998">
              <w:rPr>
                <w:rFonts w:ascii="Arial" w:eastAsia="Calibri" w:hAnsi="Arial" w:cs="Arial"/>
                <w:b/>
                <w:bCs/>
                <w:sz w:val="20"/>
                <w:szCs w:val="24"/>
              </w:rPr>
              <w:t>12 month trend</w:t>
            </w:r>
          </w:p>
          <w:p w:rsidR="00123998" w:rsidRPr="00123998" w:rsidRDefault="00123998" w:rsidP="00123998">
            <w:pPr>
              <w:jc w:val="center"/>
              <w:rPr>
                <w:rFonts w:ascii="Arial" w:eastAsia="Calibri" w:hAnsi="Arial" w:cs="Arial"/>
                <w:b/>
                <w:bCs/>
                <w:sz w:val="20"/>
                <w:szCs w:val="24"/>
              </w:rPr>
            </w:pPr>
            <w:r w:rsidRPr="00123998">
              <w:rPr>
                <w:rFonts w:ascii="Arial" w:eastAsia="Calibri" w:hAnsi="Arial" w:cs="Arial"/>
                <w:bCs/>
                <w:sz w:val="16"/>
                <w:szCs w:val="24"/>
              </w:rPr>
              <w:t>(12 month rolling figure)</w:t>
            </w:r>
          </w:p>
        </w:tc>
      </w:tr>
      <w:tr w:rsidR="00123998" w:rsidRPr="00123998" w:rsidTr="00123998">
        <w:trPr>
          <w:trHeight w:val="552"/>
        </w:trPr>
        <w:tc>
          <w:tcPr>
            <w:tcW w:w="3687" w:type="dxa"/>
            <w:gridSpan w:val="2"/>
            <w:vMerge/>
            <w:shd w:val="clear" w:color="auto" w:fill="548DD4" w:themeFill="text2" w:themeFillTint="99"/>
          </w:tcPr>
          <w:p w:rsidR="00123998" w:rsidRPr="00123998" w:rsidRDefault="00123998" w:rsidP="00123998">
            <w:pPr>
              <w:jc w:val="both"/>
              <w:rPr>
                <w:rFonts w:ascii="Arial" w:eastAsia="Calibri" w:hAnsi="Arial" w:cs="Arial"/>
                <w:b/>
                <w:bCs/>
                <w:sz w:val="28"/>
                <w:szCs w:val="24"/>
              </w:rPr>
            </w:pPr>
          </w:p>
        </w:tc>
        <w:tc>
          <w:tcPr>
            <w:tcW w:w="1134" w:type="dxa"/>
            <w:vAlign w:val="center"/>
          </w:tcPr>
          <w:p w:rsidR="00123998" w:rsidRPr="00123998" w:rsidRDefault="00123998" w:rsidP="00123998">
            <w:pPr>
              <w:jc w:val="center"/>
              <w:rPr>
                <w:rFonts w:ascii="Arial" w:hAnsi="Arial" w:cs="Arial"/>
                <w:sz w:val="14"/>
                <w:szCs w:val="14"/>
                <w:lang w:val="en-US"/>
              </w:rPr>
            </w:pPr>
            <w:r w:rsidRPr="00123998">
              <w:rPr>
                <w:rFonts w:ascii="Arial" w:hAnsi="Arial" w:cs="Arial"/>
                <w:sz w:val="14"/>
                <w:szCs w:val="14"/>
                <w:lang w:val="en-US"/>
              </w:rPr>
              <w:t xml:space="preserve">G: =&lt;14%, </w:t>
            </w:r>
          </w:p>
          <w:p w:rsidR="00123998" w:rsidRPr="00123998" w:rsidRDefault="00123998" w:rsidP="00123998">
            <w:pPr>
              <w:jc w:val="center"/>
              <w:rPr>
                <w:rFonts w:ascii="Arial" w:hAnsi="Arial" w:cs="Arial"/>
                <w:sz w:val="14"/>
                <w:szCs w:val="14"/>
                <w:lang w:val="en-US"/>
              </w:rPr>
            </w:pPr>
            <w:r w:rsidRPr="00123998">
              <w:rPr>
                <w:rFonts w:ascii="Arial" w:hAnsi="Arial" w:cs="Arial"/>
                <w:sz w:val="14"/>
                <w:szCs w:val="14"/>
                <w:lang w:val="en-US"/>
              </w:rPr>
              <w:t>A: 14.1 - 14.9%,</w:t>
            </w:r>
          </w:p>
          <w:p w:rsidR="00123998" w:rsidRPr="00123998" w:rsidRDefault="00123998" w:rsidP="00123998">
            <w:pPr>
              <w:jc w:val="center"/>
              <w:rPr>
                <w:rFonts w:ascii="Arial" w:hAnsi="Arial" w:cs="Arial"/>
                <w:sz w:val="20"/>
                <w:szCs w:val="20"/>
                <w:lang w:val="en-US"/>
              </w:rPr>
            </w:pPr>
            <w:r w:rsidRPr="00123998">
              <w:rPr>
                <w:rFonts w:ascii="Arial" w:hAnsi="Arial" w:cs="Arial"/>
                <w:sz w:val="14"/>
                <w:szCs w:val="14"/>
                <w:lang w:val="en-US"/>
              </w:rPr>
              <w:t xml:space="preserve"> R: =&gt;15%</w:t>
            </w:r>
          </w:p>
        </w:tc>
        <w:tc>
          <w:tcPr>
            <w:tcW w:w="1134" w:type="dxa"/>
            <w:shd w:val="clear" w:color="auto" w:fill="92D050"/>
            <w:vAlign w:val="center"/>
          </w:tcPr>
          <w:p w:rsidR="00123998" w:rsidRPr="00123998" w:rsidRDefault="00123998" w:rsidP="00123998">
            <w:pPr>
              <w:jc w:val="center"/>
              <w:rPr>
                <w:rFonts w:ascii="Arial" w:hAnsi="Arial" w:cs="Arial"/>
                <w:color w:val="FFFFFF"/>
                <w:sz w:val="20"/>
                <w:szCs w:val="20"/>
                <w:lang w:val="en-US"/>
              </w:rPr>
            </w:pPr>
            <w:r w:rsidRPr="00123998">
              <w:rPr>
                <w:rFonts w:ascii="Arial" w:hAnsi="Arial" w:cs="Arial"/>
                <w:sz w:val="20"/>
                <w:szCs w:val="20"/>
                <w:lang w:val="en-US"/>
              </w:rPr>
              <w:t>0.99%</w:t>
            </w:r>
          </w:p>
        </w:tc>
        <w:tc>
          <w:tcPr>
            <w:tcW w:w="1134" w:type="dxa"/>
            <w:shd w:val="clear" w:color="auto" w:fill="FFC000"/>
            <w:vAlign w:val="center"/>
          </w:tcPr>
          <w:p w:rsidR="00123998" w:rsidRPr="00123998" w:rsidRDefault="00123998" w:rsidP="00123998">
            <w:pPr>
              <w:jc w:val="center"/>
              <w:rPr>
                <w:rFonts w:ascii="Arial" w:hAnsi="Arial" w:cs="Arial"/>
                <w:color w:val="FFFFFF"/>
                <w:sz w:val="20"/>
                <w:szCs w:val="20"/>
                <w:lang w:val="en-US"/>
              </w:rPr>
            </w:pPr>
            <w:r w:rsidRPr="00123998">
              <w:rPr>
                <w:rFonts w:ascii="Arial" w:hAnsi="Arial" w:cs="Arial"/>
                <w:sz w:val="20"/>
                <w:szCs w:val="20"/>
                <w:lang w:val="en-US"/>
              </w:rPr>
              <w:t>14.81%</w:t>
            </w:r>
          </w:p>
        </w:tc>
        <w:tc>
          <w:tcPr>
            <w:tcW w:w="2800" w:type="dxa"/>
          </w:tcPr>
          <w:p w:rsidR="00123998" w:rsidRPr="00123998" w:rsidRDefault="00123998" w:rsidP="00123998">
            <w:pPr>
              <w:jc w:val="both"/>
              <w:rPr>
                <w:rFonts w:ascii="Arial" w:eastAsia="Calibri" w:hAnsi="Arial" w:cs="Arial"/>
                <w:b/>
                <w:bCs/>
                <w:sz w:val="28"/>
                <w:szCs w:val="24"/>
              </w:rPr>
            </w:pPr>
            <w:r w:rsidRPr="00123998">
              <w:rPr>
                <w:rFonts w:ascii="Arial" w:eastAsia="Calibri" w:hAnsi="Arial" w:cs="Arial"/>
                <w:b/>
                <w:bCs/>
                <w:noProof/>
                <w:sz w:val="28"/>
                <w:szCs w:val="24"/>
                <w:lang w:eastAsia="en-GB"/>
              </w:rPr>
              <w:drawing>
                <wp:inline distT="0" distB="0" distL="0" distR="0" wp14:anchorId="563F11BB" wp14:editId="4C9804D4">
                  <wp:extent cx="1635919" cy="285666"/>
                  <wp:effectExtent l="0" t="0" r="2540" b="63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640035" cy="286385"/>
                          </a:xfrm>
                          <a:prstGeom prst="rect">
                            <a:avLst/>
                          </a:prstGeom>
                          <a:noFill/>
                        </pic:spPr>
                      </pic:pic>
                    </a:graphicData>
                  </a:graphic>
                </wp:inline>
              </w:drawing>
            </w:r>
          </w:p>
        </w:tc>
      </w:tr>
      <w:tr w:rsidR="00123998" w:rsidRPr="00123998" w:rsidTr="00123998">
        <w:trPr>
          <w:trHeight w:val="469"/>
        </w:trPr>
        <w:tc>
          <w:tcPr>
            <w:tcW w:w="9889" w:type="dxa"/>
            <w:gridSpan w:val="6"/>
            <w:vAlign w:val="bottom"/>
          </w:tcPr>
          <w:p w:rsidR="00123998" w:rsidRPr="00123998" w:rsidRDefault="00123998" w:rsidP="00123998">
            <w:pPr>
              <w:rPr>
                <w:rFonts w:ascii="Arial" w:eastAsia="Calibri" w:hAnsi="Arial" w:cs="Arial"/>
                <w:b/>
                <w:bCs/>
                <w:sz w:val="28"/>
                <w:szCs w:val="24"/>
              </w:rPr>
            </w:pPr>
            <w:r w:rsidRPr="00123998">
              <w:rPr>
                <w:rFonts w:ascii="Arial" w:hAnsi="Arial" w:cs="Arial"/>
                <w:b/>
                <w:bCs/>
                <w:sz w:val="20"/>
                <w:szCs w:val="20"/>
                <w:lang w:val="en-US" w:eastAsia="en-GB"/>
              </w:rPr>
              <w:t>Reason for non-compliance</w:t>
            </w:r>
          </w:p>
        </w:tc>
      </w:tr>
      <w:tr w:rsidR="00123998" w:rsidRPr="00123998" w:rsidTr="00123998">
        <w:trPr>
          <w:trHeight w:val="3109"/>
        </w:trPr>
        <w:tc>
          <w:tcPr>
            <w:tcW w:w="9889" w:type="dxa"/>
            <w:gridSpan w:val="6"/>
          </w:tcPr>
          <w:p w:rsidR="00123998" w:rsidRPr="00123998" w:rsidRDefault="00123998" w:rsidP="00123998">
            <w:r w:rsidRPr="00123998">
              <w:rPr>
                <w:rFonts w:ascii="Arial" w:eastAsia="Calibri" w:hAnsi="Arial" w:cs="Arial"/>
                <w:bCs/>
              </w:rPr>
              <w:t xml:space="preserve">The rolling 12 month turnover figure has decreased from 15.26% in April 2020 to 14.81% in May 2020; the in-month turnover figure has also decreased from 1.22% in April 2020 to 0.99% in May 2020. The in-month figure comes within the Trust target as the KPI has been amended from 12% to 14% following a review to ensure that all KPI’s are realistic and achievable with targeted action. </w:t>
            </w:r>
          </w:p>
          <w:p w:rsidR="00123998" w:rsidRPr="00123998" w:rsidRDefault="00123998" w:rsidP="00123998">
            <w:pPr>
              <w:jc w:val="both"/>
              <w:rPr>
                <w:rFonts w:ascii="Arial" w:eastAsia="Calibri" w:hAnsi="Arial" w:cs="Arial"/>
                <w:bCs/>
                <w:highlight w:val="yellow"/>
              </w:rPr>
            </w:pPr>
          </w:p>
          <w:p w:rsidR="00123998" w:rsidRPr="00123998" w:rsidRDefault="00123998" w:rsidP="00123998">
            <w:pPr>
              <w:jc w:val="both"/>
              <w:rPr>
                <w:rFonts w:ascii="Arial" w:eastAsia="Calibri" w:hAnsi="Arial" w:cs="Arial"/>
                <w:bCs/>
              </w:rPr>
            </w:pPr>
            <w:r w:rsidRPr="00123998">
              <w:rPr>
                <w:rFonts w:ascii="Arial" w:eastAsia="Calibri" w:hAnsi="Arial" w:cs="Arial"/>
                <w:bCs/>
              </w:rPr>
              <w:t>There were 13 leavers in May 2020 and the reasons for leaving were as follows:</w:t>
            </w:r>
          </w:p>
          <w:p w:rsidR="00123998" w:rsidRPr="00123998" w:rsidRDefault="00123998" w:rsidP="00123998">
            <w:pPr>
              <w:jc w:val="both"/>
              <w:rPr>
                <w:rFonts w:ascii="Arial" w:eastAsia="Calibri" w:hAnsi="Arial" w:cs="Arial"/>
                <w:bCs/>
              </w:rPr>
            </w:pPr>
          </w:p>
          <w:tbl>
            <w:tblPr>
              <w:tblStyle w:val="TableGrid42"/>
              <w:tblW w:w="0" w:type="auto"/>
              <w:tblLook w:val="04A0" w:firstRow="1" w:lastRow="0" w:firstColumn="1" w:lastColumn="0" w:noHBand="0" w:noVBand="1"/>
            </w:tblPr>
            <w:tblGrid>
              <w:gridCol w:w="4505"/>
              <w:gridCol w:w="4506"/>
            </w:tblGrid>
            <w:tr w:rsidR="00123998" w:rsidRPr="00123998" w:rsidTr="00123998">
              <w:tc>
                <w:tcPr>
                  <w:tcW w:w="4505" w:type="dxa"/>
                  <w:shd w:val="clear" w:color="auto" w:fill="92D050"/>
                </w:tcPr>
                <w:p w:rsidR="00123998" w:rsidRPr="00123998" w:rsidRDefault="00123998" w:rsidP="000461A0">
                  <w:pPr>
                    <w:framePr w:hSpace="180" w:wrap="around" w:vAnchor="text" w:hAnchor="margin" w:x="-318" w:y="-332"/>
                    <w:jc w:val="both"/>
                    <w:rPr>
                      <w:rFonts w:ascii="Arial" w:eastAsia="Calibri" w:hAnsi="Arial" w:cs="Arial"/>
                      <w:b/>
                      <w:bCs/>
                    </w:rPr>
                  </w:pPr>
                  <w:r w:rsidRPr="00123998">
                    <w:rPr>
                      <w:rFonts w:ascii="Arial" w:eastAsia="Calibri" w:hAnsi="Arial" w:cs="Arial"/>
                      <w:b/>
                      <w:bCs/>
                    </w:rPr>
                    <w:t>Reason for Leaving</w:t>
                  </w:r>
                </w:p>
              </w:tc>
              <w:tc>
                <w:tcPr>
                  <w:tcW w:w="4506" w:type="dxa"/>
                  <w:shd w:val="clear" w:color="auto" w:fill="92D050"/>
                </w:tcPr>
                <w:p w:rsidR="00123998" w:rsidRPr="00123998" w:rsidRDefault="00123998" w:rsidP="000461A0">
                  <w:pPr>
                    <w:framePr w:hSpace="180" w:wrap="around" w:vAnchor="text" w:hAnchor="margin" w:x="-318" w:y="-332"/>
                    <w:jc w:val="both"/>
                    <w:rPr>
                      <w:rFonts w:ascii="Arial" w:eastAsia="Calibri" w:hAnsi="Arial" w:cs="Arial"/>
                      <w:b/>
                      <w:bCs/>
                    </w:rPr>
                  </w:pPr>
                  <w:r w:rsidRPr="00123998">
                    <w:rPr>
                      <w:rFonts w:ascii="Arial" w:eastAsia="Calibri" w:hAnsi="Arial" w:cs="Arial"/>
                      <w:b/>
                      <w:bCs/>
                    </w:rPr>
                    <w:t>Number of Leavers</w:t>
                  </w:r>
                </w:p>
              </w:tc>
            </w:tr>
            <w:tr w:rsidR="00123998" w:rsidRPr="00123998" w:rsidTr="00123998">
              <w:tc>
                <w:tcPr>
                  <w:tcW w:w="4505" w:type="dxa"/>
                </w:tcPr>
                <w:p w:rsidR="00123998" w:rsidRPr="00123998" w:rsidRDefault="00123998" w:rsidP="000461A0">
                  <w:pPr>
                    <w:framePr w:hSpace="180" w:wrap="around" w:vAnchor="text" w:hAnchor="margin" w:x="-318" w:y="-332"/>
                    <w:jc w:val="both"/>
                    <w:rPr>
                      <w:rFonts w:ascii="Arial" w:eastAsia="Calibri" w:hAnsi="Arial" w:cs="Arial"/>
                      <w:bCs/>
                    </w:rPr>
                  </w:pPr>
                  <w:r w:rsidRPr="00123998">
                    <w:rPr>
                      <w:rFonts w:ascii="Arial" w:eastAsia="Calibri" w:hAnsi="Arial" w:cs="Arial"/>
                      <w:bCs/>
                    </w:rPr>
                    <w:t>Promotion</w:t>
                  </w:r>
                </w:p>
              </w:tc>
              <w:tc>
                <w:tcPr>
                  <w:tcW w:w="4506" w:type="dxa"/>
                </w:tcPr>
                <w:p w:rsidR="00123998" w:rsidRPr="00123998" w:rsidRDefault="00123998" w:rsidP="000461A0">
                  <w:pPr>
                    <w:framePr w:hSpace="180" w:wrap="around" w:vAnchor="text" w:hAnchor="margin" w:x="-318" w:y="-332"/>
                    <w:jc w:val="both"/>
                    <w:rPr>
                      <w:rFonts w:ascii="Arial" w:eastAsia="Calibri" w:hAnsi="Arial" w:cs="Arial"/>
                      <w:bCs/>
                    </w:rPr>
                  </w:pPr>
                  <w:r w:rsidRPr="00123998">
                    <w:rPr>
                      <w:rFonts w:ascii="Arial" w:eastAsia="Calibri" w:hAnsi="Arial" w:cs="Arial"/>
                      <w:bCs/>
                    </w:rPr>
                    <w:t>4</w:t>
                  </w:r>
                </w:p>
              </w:tc>
            </w:tr>
            <w:tr w:rsidR="00123998" w:rsidRPr="00123998" w:rsidTr="00123998">
              <w:tc>
                <w:tcPr>
                  <w:tcW w:w="4505" w:type="dxa"/>
                </w:tcPr>
                <w:p w:rsidR="00123998" w:rsidRPr="00123998" w:rsidRDefault="00123998" w:rsidP="000461A0">
                  <w:pPr>
                    <w:framePr w:hSpace="180" w:wrap="around" w:vAnchor="text" w:hAnchor="margin" w:x="-318" w:y="-332"/>
                    <w:jc w:val="both"/>
                    <w:rPr>
                      <w:rFonts w:ascii="Arial" w:eastAsia="Calibri" w:hAnsi="Arial" w:cs="Arial"/>
                      <w:bCs/>
                    </w:rPr>
                  </w:pPr>
                  <w:r w:rsidRPr="00123998">
                    <w:rPr>
                      <w:rFonts w:ascii="Arial" w:eastAsia="Calibri" w:hAnsi="Arial" w:cs="Arial"/>
                      <w:bCs/>
                    </w:rPr>
                    <w:t>Retirement</w:t>
                  </w:r>
                </w:p>
              </w:tc>
              <w:tc>
                <w:tcPr>
                  <w:tcW w:w="4506" w:type="dxa"/>
                </w:tcPr>
                <w:p w:rsidR="00123998" w:rsidRPr="00123998" w:rsidRDefault="00123998" w:rsidP="000461A0">
                  <w:pPr>
                    <w:framePr w:hSpace="180" w:wrap="around" w:vAnchor="text" w:hAnchor="margin" w:x="-318" w:y="-332"/>
                    <w:jc w:val="both"/>
                    <w:rPr>
                      <w:rFonts w:ascii="Arial" w:eastAsia="Calibri" w:hAnsi="Arial" w:cs="Arial"/>
                      <w:bCs/>
                    </w:rPr>
                  </w:pPr>
                  <w:r w:rsidRPr="00123998">
                    <w:rPr>
                      <w:rFonts w:ascii="Arial" w:eastAsia="Calibri" w:hAnsi="Arial" w:cs="Arial"/>
                      <w:bCs/>
                    </w:rPr>
                    <w:t>4</w:t>
                  </w:r>
                </w:p>
              </w:tc>
            </w:tr>
            <w:tr w:rsidR="00123998" w:rsidRPr="00123998" w:rsidTr="00123998">
              <w:tc>
                <w:tcPr>
                  <w:tcW w:w="4505" w:type="dxa"/>
                </w:tcPr>
                <w:p w:rsidR="00123998" w:rsidRPr="00123998" w:rsidRDefault="00123998" w:rsidP="000461A0">
                  <w:pPr>
                    <w:framePr w:hSpace="180" w:wrap="around" w:vAnchor="text" w:hAnchor="margin" w:x="-318" w:y="-332"/>
                    <w:jc w:val="both"/>
                    <w:rPr>
                      <w:rFonts w:ascii="Arial" w:eastAsia="Calibri" w:hAnsi="Arial" w:cs="Arial"/>
                      <w:bCs/>
                    </w:rPr>
                  </w:pPr>
                  <w:r w:rsidRPr="00123998">
                    <w:rPr>
                      <w:rFonts w:ascii="Arial" w:eastAsia="Calibri" w:hAnsi="Arial" w:cs="Arial"/>
                      <w:bCs/>
                    </w:rPr>
                    <w:t>Incompatible Working Relationships</w:t>
                  </w:r>
                </w:p>
              </w:tc>
              <w:tc>
                <w:tcPr>
                  <w:tcW w:w="4506" w:type="dxa"/>
                </w:tcPr>
                <w:p w:rsidR="00123998" w:rsidRPr="00123998" w:rsidRDefault="00123998" w:rsidP="000461A0">
                  <w:pPr>
                    <w:framePr w:hSpace="180" w:wrap="around" w:vAnchor="text" w:hAnchor="margin" w:x="-318" w:y="-332"/>
                    <w:jc w:val="both"/>
                    <w:rPr>
                      <w:rFonts w:ascii="Arial" w:eastAsia="Calibri" w:hAnsi="Arial" w:cs="Arial"/>
                      <w:bCs/>
                    </w:rPr>
                  </w:pPr>
                  <w:r w:rsidRPr="00123998">
                    <w:rPr>
                      <w:rFonts w:ascii="Arial" w:eastAsia="Calibri" w:hAnsi="Arial" w:cs="Arial"/>
                      <w:bCs/>
                    </w:rPr>
                    <w:t>2</w:t>
                  </w:r>
                </w:p>
              </w:tc>
            </w:tr>
            <w:tr w:rsidR="00123998" w:rsidRPr="00123998" w:rsidTr="00123998">
              <w:tc>
                <w:tcPr>
                  <w:tcW w:w="4505" w:type="dxa"/>
                </w:tcPr>
                <w:p w:rsidR="00123998" w:rsidRPr="00123998" w:rsidRDefault="00123998" w:rsidP="000461A0">
                  <w:pPr>
                    <w:framePr w:hSpace="180" w:wrap="around" w:vAnchor="text" w:hAnchor="margin" w:x="-318" w:y="-332"/>
                    <w:jc w:val="both"/>
                    <w:rPr>
                      <w:rFonts w:ascii="Arial" w:eastAsia="Calibri" w:hAnsi="Arial" w:cs="Arial"/>
                      <w:bCs/>
                    </w:rPr>
                  </w:pPr>
                  <w:r w:rsidRPr="00123998">
                    <w:rPr>
                      <w:rFonts w:ascii="Arial" w:eastAsia="Calibri" w:hAnsi="Arial" w:cs="Arial"/>
                      <w:bCs/>
                    </w:rPr>
                    <w:t>End of Fixed-Term Contract</w:t>
                  </w:r>
                </w:p>
              </w:tc>
              <w:tc>
                <w:tcPr>
                  <w:tcW w:w="4506" w:type="dxa"/>
                </w:tcPr>
                <w:p w:rsidR="00123998" w:rsidRPr="00123998" w:rsidRDefault="00123998" w:rsidP="000461A0">
                  <w:pPr>
                    <w:framePr w:hSpace="180" w:wrap="around" w:vAnchor="text" w:hAnchor="margin" w:x="-318" w:y="-332"/>
                    <w:jc w:val="both"/>
                    <w:rPr>
                      <w:rFonts w:ascii="Arial" w:eastAsia="Calibri" w:hAnsi="Arial" w:cs="Arial"/>
                      <w:bCs/>
                    </w:rPr>
                  </w:pPr>
                  <w:r w:rsidRPr="00123998">
                    <w:rPr>
                      <w:rFonts w:ascii="Arial" w:eastAsia="Calibri" w:hAnsi="Arial" w:cs="Arial"/>
                      <w:bCs/>
                    </w:rPr>
                    <w:t>1</w:t>
                  </w:r>
                </w:p>
              </w:tc>
            </w:tr>
            <w:tr w:rsidR="00123998" w:rsidRPr="00123998" w:rsidTr="00123998">
              <w:tc>
                <w:tcPr>
                  <w:tcW w:w="4505" w:type="dxa"/>
                </w:tcPr>
                <w:p w:rsidR="00123998" w:rsidRPr="00123998" w:rsidRDefault="00123998" w:rsidP="000461A0">
                  <w:pPr>
                    <w:framePr w:hSpace="180" w:wrap="around" w:vAnchor="text" w:hAnchor="margin" w:x="-318" w:y="-332"/>
                    <w:jc w:val="both"/>
                    <w:rPr>
                      <w:rFonts w:ascii="Arial" w:eastAsia="Calibri" w:hAnsi="Arial" w:cs="Arial"/>
                      <w:bCs/>
                    </w:rPr>
                  </w:pPr>
                  <w:r w:rsidRPr="00123998">
                    <w:rPr>
                      <w:rFonts w:ascii="Arial" w:eastAsia="Calibri" w:hAnsi="Arial" w:cs="Arial"/>
                      <w:bCs/>
                    </w:rPr>
                    <w:t>Better Reward Package</w:t>
                  </w:r>
                </w:p>
              </w:tc>
              <w:tc>
                <w:tcPr>
                  <w:tcW w:w="4506" w:type="dxa"/>
                </w:tcPr>
                <w:p w:rsidR="00123998" w:rsidRPr="00123998" w:rsidRDefault="00123998" w:rsidP="000461A0">
                  <w:pPr>
                    <w:framePr w:hSpace="180" w:wrap="around" w:vAnchor="text" w:hAnchor="margin" w:x="-318" w:y="-332"/>
                    <w:jc w:val="both"/>
                    <w:rPr>
                      <w:rFonts w:ascii="Arial" w:eastAsia="Calibri" w:hAnsi="Arial" w:cs="Arial"/>
                      <w:bCs/>
                    </w:rPr>
                  </w:pPr>
                  <w:r w:rsidRPr="00123998">
                    <w:rPr>
                      <w:rFonts w:ascii="Arial" w:eastAsia="Calibri" w:hAnsi="Arial" w:cs="Arial"/>
                      <w:bCs/>
                    </w:rPr>
                    <w:t>1</w:t>
                  </w:r>
                </w:p>
              </w:tc>
            </w:tr>
            <w:tr w:rsidR="00123998" w:rsidRPr="00123998" w:rsidTr="00123998">
              <w:tc>
                <w:tcPr>
                  <w:tcW w:w="4505" w:type="dxa"/>
                </w:tcPr>
                <w:p w:rsidR="00123998" w:rsidRPr="00123998" w:rsidRDefault="00123998" w:rsidP="000461A0">
                  <w:pPr>
                    <w:framePr w:hSpace="180" w:wrap="around" w:vAnchor="text" w:hAnchor="margin" w:x="-318" w:y="-332"/>
                    <w:jc w:val="both"/>
                    <w:rPr>
                      <w:rFonts w:ascii="Arial" w:eastAsia="Calibri" w:hAnsi="Arial" w:cs="Arial"/>
                      <w:bCs/>
                    </w:rPr>
                  </w:pPr>
                  <w:r w:rsidRPr="00123998">
                    <w:rPr>
                      <w:rFonts w:ascii="Arial" w:eastAsia="Calibri" w:hAnsi="Arial" w:cs="Arial"/>
                      <w:bCs/>
                    </w:rPr>
                    <w:t>To undertake further education or training</w:t>
                  </w:r>
                </w:p>
              </w:tc>
              <w:tc>
                <w:tcPr>
                  <w:tcW w:w="4506" w:type="dxa"/>
                </w:tcPr>
                <w:p w:rsidR="00123998" w:rsidRPr="00123998" w:rsidRDefault="00123998" w:rsidP="000461A0">
                  <w:pPr>
                    <w:framePr w:hSpace="180" w:wrap="around" w:vAnchor="text" w:hAnchor="margin" w:x="-318" w:y="-332"/>
                    <w:jc w:val="both"/>
                    <w:rPr>
                      <w:rFonts w:ascii="Arial" w:eastAsia="Calibri" w:hAnsi="Arial" w:cs="Arial"/>
                      <w:bCs/>
                    </w:rPr>
                  </w:pPr>
                  <w:r w:rsidRPr="00123998">
                    <w:rPr>
                      <w:rFonts w:ascii="Arial" w:eastAsia="Calibri" w:hAnsi="Arial" w:cs="Arial"/>
                      <w:bCs/>
                    </w:rPr>
                    <w:t>1</w:t>
                  </w:r>
                </w:p>
              </w:tc>
            </w:tr>
          </w:tbl>
          <w:p w:rsidR="00123998" w:rsidRPr="00123998" w:rsidRDefault="00123998" w:rsidP="00123998">
            <w:pPr>
              <w:jc w:val="both"/>
              <w:rPr>
                <w:rFonts w:ascii="Arial" w:eastAsia="Calibri" w:hAnsi="Arial" w:cs="Arial"/>
                <w:bCs/>
                <w:highlight w:val="yellow"/>
              </w:rPr>
            </w:pPr>
          </w:p>
          <w:p w:rsidR="00123998" w:rsidRPr="00123998" w:rsidRDefault="00123998" w:rsidP="00123998">
            <w:pPr>
              <w:jc w:val="both"/>
              <w:rPr>
                <w:rFonts w:ascii="Arial" w:eastAsia="Calibri" w:hAnsi="Arial" w:cs="Arial"/>
                <w:bCs/>
                <w:szCs w:val="24"/>
              </w:rPr>
            </w:pPr>
            <w:r w:rsidRPr="00123998">
              <w:rPr>
                <w:rFonts w:ascii="Arial" w:eastAsia="Calibri" w:hAnsi="Arial" w:cs="Arial"/>
                <w:bCs/>
                <w:szCs w:val="24"/>
              </w:rPr>
              <w:t>The directorate with the highest number of leavers in May 2020 was Corporate Services with 5 leavers, followed by Hosted Service with 3 leavers. Chemotherapy, Haemato-oncology, Integrated Care, Radiation Services and Research all had 1 leaver each.</w:t>
            </w:r>
          </w:p>
          <w:p w:rsidR="00123998" w:rsidRPr="00123998" w:rsidRDefault="00123998" w:rsidP="00123998">
            <w:pPr>
              <w:jc w:val="both"/>
              <w:rPr>
                <w:rFonts w:ascii="Arial" w:eastAsia="Calibri" w:hAnsi="Arial" w:cs="Arial"/>
                <w:bCs/>
                <w:szCs w:val="24"/>
              </w:rPr>
            </w:pPr>
          </w:p>
          <w:p w:rsidR="00123998" w:rsidRPr="00123998" w:rsidRDefault="00123998" w:rsidP="00123998">
            <w:pPr>
              <w:jc w:val="both"/>
              <w:rPr>
                <w:rFonts w:ascii="Arial" w:eastAsia="Calibri" w:hAnsi="Arial" w:cs="Arial"/>
                <w:bCs/>
                <w:szCs w:val="24"/>
              </w:rPr>
            </w:pPr>
            <w:r w:rsidRPr="00123998">
              <w:rPr>
                <w:rFonts w:ascii="Arial" w:eastAsia="Calibri" w:hAnsi="Arial" w:cs="Arial"/>
                <w:bCs/>
                <w:szCs w:val="24"/>
              </w:rPr>
              <w:t>One of the highest reasons for leaving in May 2020 was Promotion and of these 4 leavers, 3 took up employment at other local NHS Trusts. 2 of the leavers due to promotion had more than 2 years’ service with the Trust, whilst the other 2 leavers had 5 months service or less. Another leaver that had less than 5 months service left to undertake role specific training. The complete breakdown by length of service for all leavers in May 2020 is shown in the table below:</w:t>
            </w:r>
          </w:p>
          <w:p w:rsidR="00123998" w:rsidRPr="00123998" w:rsidRDefault="00123998" w:rsidP="00123998">
            <w:pPr>
              <w:jc w:val="both"/>
              <w:rPr>
                <w:rFonts w:ascii="Arial" w:eastAsia="Calibri" w:hAnsi="Arial" w:cs="Arial"/>
                <w:bCs/>
                <w:szCs w:val="24"/>
              </w:rPr>
            </w:pPr>
          </w:p>
          <w:tbl>
            <w:tblPr>
              <w:tblStyle w:val="TableGrid42"/>
              <w:tblW w:w="0" w:type="auto"/>
              <w:tblLook w:val="04A0" w:firstRow="1" w:lastRow="0" w:firstColumn="1" w:lastColumn="0" w:noHBand="0" w:noVBand="1"/>
            </w:tblPr>
            <w:tblGrid>
              <w:gridCol w:w="4505"/>
              <w:gridCol w:w="4506"/>
            </w:tblGrid>
            <w:tr w:rsidR="00123998" w:rsidRPr="00123998" w:rsidTr="00123998">
              <w:tc>
                <w:tcPr>
                  <w:tcW w:w="4505" w:type="dxa"/>
                  <w:shd w:val="clear" w:color="auto" w:fill="92D050"/>
                </w:tcPr>
                <w:p w:rsidR="00123998" w:rsidRPr="00123998" w:rsidRDefault="00123998" w:rsidP="000461A0">
                  <w:pPr>
                    <w:framePr w:hSpace="180" w:wrap="around" w:vAnchor="text" w:hAnchor="margin" w:x="-318" w:y="-332"/>
                    <w:jc w:val="both"/>
                    <w:rPr>
                      <w:rFonts w:ascii="Arial" w:eastAsia="Calibri" w:hAnsi="Arial" w:cs="Arial"/>
                      <w:b/>
                      <w:bCs/>
                    </w:rPr>
                  </w:pPr>
                  <w:r w:rsidRPr="00123998">
                    <w:rPr>
                      <w:rFonts w:ascii="Arial" w:eastAsia="Calibri" w:hAnsi="Arial" w:cs="Arial"/>
                      <w:b/>
                      <w:bCs/>
                    </w:rPr>
                    <w:t>Length of Service (years)</w:t>
                  </w:r>
                </w:p>
              </w:tc>
              <w:tc>
                <w:tcPr>
                  <w:tcW w:w="4506" w:type="dxa"/>
                  <w:shd w:val="clear" w:color="auto" w:fill="92D050"/>
                </w:tcPr>
                <w:p w:rsidR="00123998" w:rsidRPr="00123998" w:rsidRDefault="00123998" w:rsidP="000461A0">
                  <w:pPr>
                    <w:framePr w:hSpace="180" w:wrap="around" w:vAnchor="text" w:hAnchor="margin" w:x="-318" w:y="-332"/>
                    <w:jc w:val="both"/>
                    <w:rPr>
                      <w:rFonts w:ascii="Arial" w:eastAsia="Calibri" w:hAnsi="Arial" w:cs="Arial"/>
                      <w:b/>
                      <w:bCs/>
                    </w:rPr>
                  </w:pPr>
                  <w:r w:rsidRPr="00123998">
                    <w:rPr>
                      <w:rFonts w:ascii="Arial" w:eastAsia="Calibri" w:hAnsi="Arial" w:cs="Arial"/>
                      <w:b/>
                      <w:bCs/>
                    </w:rPr>
                    <w:t>Number of Leavers</w:t>
                  </w:r>
                </w:p>
              </w:tc>
            </w:tr>
            <w:tr w:rsidR="00123998" w:rsidRPr="00123998" w:rsidTr="00123998">
              <w:tc>
                <w:tcPr>
                  <w:tcW w:w="4505" w:type="dxa"/>
                </w:tcPr>
                <w:p w:rsidR="00123998" w:rsidRPr="00123998" w:rsidRDefault="00123998" w:rsidP="000461A0">
                  <w:pPr>
                    <w:framePr w:hSpace="180" w:wrap="around" w:vAnchor="text" w:hAnchor="margin" w:x="-318" w:y="-332"/>
                    <w:jc w:val="both"/>
                    <w:rPr>
                      <w:rFonts w:ascii="Arial" w:eastAsia="Calibri" w:hAnsi="Arial" w:cs="Arial"/>
                      <w:bCs/>
                    </w:rPr>
                  </w:pPr>
                  <w:r w:rsidRPr="00123998">
                    <w:rPr>
                      <w:rFonts w:ascii="Arial" w:eastAsia="Calibri" w:hAnsi="Arial" w:cs="Arial"/>
                      <w:bCs/>
                    </w:rPr>
                    <w:t>Less than 5 months</w:t>
                  </w:r>
                </w:p>
              </w:tc>
              <w:tc>
                <w:tcPr>
                  <w:tcW w:w="4506" w:type="dxa"/>
                </w:tcPr>
                <w:p w:rsidR="00123998" w:rsidRPr="00123998" w:rsidRDefault="00123998" w:rsidP="000461A0">
                  <w:pPr>
                    <w:framePr w:hSpace="180" w:wrap="around" w:vAnchor="text" w:hAnchor="margin" w:x="-318" w:y="-332"/>
                    <w:jc w:val="both"/>
                    <w:rPr>
                      <w:rFonts w:ascii="Arial" w:eastAsia="Calibri" w:hAnsi="Arial" w:cs="Arial"/>
                      <w:bCs/>
                    </w:rPr>
                  </w:pPr>
                  <w:r w:rsidRPr="00123998">
                    <w:rPr>
                      <w:rFonts w:ascii="Arial" w:eastAsia="Calibri" w:hAnsi="Arial" w:cs="Arial"/>
                      <w:bCs/>
                    </w:rPr>
                    <w:t>3</w:t>
                  </w:r>
                </w:p>
              </w:tc>
            </w:tr>
            <w:tr w:rsidR="00123998" w:rsidRPr="00123998" w:rsidTr="00123998">
              <w:tc>
                <w:tcPr>
                  <w:tcW w:w="4505" w:type="dxa"/>
                </w:tcPr>
                <w:p w:rsidR="00123998" w:rsidRPr="00123998" w:rsidRDefault="00123998" w:rsidP="000461A0">
                  <w:pPr>
                    <w:framePr w:hSpace="180" w:wrap="around" w:vAnchor="text" w:hAnchor="margin" w:x="-318" w:y="-332"/>
                    <w:jc w:val="both"/>
                    <w:rPr>
                      <w:rFonts w:ascii="Arial" w:eastAsia="Calibri" w:hAnsi="Arial" w:cs="Arial"/>
                      <w:bCs/>
                    </w:rPr>
                  </w:pPr>
                  <w:r w:rsidRPr="00123998">
                    <w:rPr>
                      <w:rFonts w:ascii="Arial" w:eastAsia="Calibri" w:hAnsi="Arial" w:cs="Arial"/>
                      <w:bCs/>
                    </w:rPr>
                    <w:t>1-2 years</w:t>
                  </w:r>
                </w:p>
              </w:tc>
              <w:tc>
                <w:tcPr>
                  <w:tcW w:w="4506" w:type="dxa"/>
                </w:tcPr>
                <w:p w:rsidR="00123998" w:rsidRPr="00123998" w:rsidRDefault="00123998" w:rsidP="000461A0">
                  <w:pPr>
                    <w:framePr w:hSpace="180" w:wrap="around" w:vAnchor="text" w:hAnchor="margin" w:x="-318" w:y="-332"/>
                    <w:jc w:val="both"/>
                    <w:rPr>
                      <w:rFonts w:ascii="Arial" w:eastAsia="Calibri" w:hAnsi="Arial" w:cs="Arial"/>
                      <w:bCs/>
                    </w:rPr>
                  </w:pPr>
                  <w:r w:rsidRPr="00123998">
                    <w:rPr>
                      <w:rFonts w:ascii="Arial" w:eastAsia="Calibri" w:hAnsi="Arial" w:cs="Arial"/>
                      <w:bCs/>
                    </w:rPr>
                    <w:t>3</w:t>
                  </w:r>
                </w:p>
              </w:tc>
            </w:tr>
            <w:tr w:rsidR="00123998" w:rsidRPr="00123998" w:rsidTr="00123998">
              <w:tc>
                <w:tcPr>
                  <w:tcW w:w="4505" w:type="dxa"/>
                </w:tcPr>
                <w:p w:rsidR="00123998" w:rsidRPr="00123998" w:rsidRDefault="00123998" w:rsidP="000461A0">
                  <w:pPr>
                    <w:framePr w:hSpace="180" w:wrap="around" w:vAnchor="text" w:hAnchor="margin" w:x="-318" w:y="-332"/>
                    <w:jc w:val="both"/>
                    <w:rPr>
                      <w:rFonts w:ascii="Arial" w:eastAsia="Calibri" w:hAnsi="Arial" w:cs="Arial"/>
                      <w:bCs/>
                    </w:rPr>
                  </w:pPr>
                  <w:r w:rsidRPr="00123998">
                    <w:rPr>
                      <w:rFonts w:ascii="Arial" w:eastAsia="Calibri" w:hAnsi="Arial" w:cs="Arial"/>
                      <w:bCs/>
                    </w:rPr>
                    <w:t>2-3 years</w:t>
                  </w:r>
                </w:p>
              </w:tc>
              <w:tc>
                <w:tcPr>
                  <w:tcW w:w="4506" w:type="dxa"/>
                </w:tcPr>
                <w:p w:rsidR="00123998" w:rsidRPr="00123998" w:rsidRDefault="00123998" w:rsidP="000461A0">
                  <w:pPr>
                    <w:framePr w:hSpace="180" w:wrap="around" w:vAnchor="text" w:hAnchor="margin" w:x="-318" w:y="-332"/>
                    <w:jc w:val="both"/>
                    <w:rPr>
                      <w:rFonts w:ascii="Arial" w:eastAsia="Calibri" w:hAnsi="Arial" w:cs="Arial"/>
                      <w:bCs/>
                    </w:rPr>
                  </w:pPr>
                  <w:r w:rsidRPr="00123998">
                    <w:rPr>
                      <w:rFonts w:ascii="Arial" w:eastAsia="Calibri" w:hAnsi="Arial" w:cs="Arial"/>
                      <w:bCs/>
                    </w:rPr>
                    <w:t>3</w:t>
                  </w:r>
                </w:p>
              </w:tc>
            </w:tr>
            <w:tr w:rsidR="00123998" w:rsidRPr="00123998" w:rsidTr="00123998">
              <w:tc>
                <w:tcPr>
                  <w:tcW w:w="4505" w:type="dxa"/>
                </w:tcPr>
                <w:p w:rsidR="00123998" w:rsidRPr="00123998" w:rsidRDefault="00123998" w:rsidP="000461A0">
                  <w:pPr>
                    <w:framePr w:hSpace="180" w:wrap="around" w:vAnchor="text" w:hAnchor="margin" w:x="-318" w:y="-332"/>
                    <w:jc w:val="both"/>
                    <w:rPr>
                      <w:rFonts w:ascii="Arial" w:eastAsia="Calibri" w:hAnsi="Arial" w:cs="Arial"/>
                      <w:bCs/>
                    </w:rPr>
                  </w:pPr>
                  <w:r w:rsidRPr="00123998">
                    <w:rPr>
                      <w:rFonts w:ascii="Arial" w:eastAsia="Calibri" w:hAnsi="Arial" w:cs="Arial"/>
                      <w:bCs/>
                    </w:rPr>
                    <w:t>Over 7 years</w:t>
                  </w:r>
                </w:p>
              </w:tc>
              <w:tc>
                <w:tcPr>
                  <w:tcW w:w="4506" w:type="dxa"/>
                </w:tcPr>
                <w:p w:rsidR="00123998" w:rsidRPr="00123998" w:rsidRDefault="00123998" w:rsidP="000461A0">
                  <w:pPr>
                    <w:framePr w:hSpace="180" w:wrap="around" w:vAnchor="text" w:hAnchor="margin" w:x="-318" w:y="-332"/>
                    <w:jc w:val="both"/>
                    <w:rPr>
                      <w:rFonts w:ascii="Arial" w:eastAsia="Calibri" w:hAnsi="Arial" w:cs="Arial"/>
                      <w:bCs/>
                    </w:rPr>
                  </w:pPr>
                  <w:r w:rsidRPr="00123998">
                    <w:rPr>
                      <w:rFonts w:ascii="Arial" w:eastAsia="Calibri" w:hAnsi="Arial" w:cs="Arial"/>
                      <w:bCs/>
                    </w:rPr>
                    <w:t>4</w:t>
                  </w:r>
                </w:p>
              </w:tc>
            </w:tr>
          </w:tbl>
          <w:p w:rsidR="00123998" w:rsidRPr="00123998" w:rsidRDefault="00123998" w:rsidP="00123998">
            <w:pPr>
              <w:jc w:val="both"/>
              <w:rPr>
                <w:rFonts w:ascii="Arial" w:eastAsia="Calibri" w:hAnsi="Arial" w:cs="Arial"/>
                <w:b/>
                <w:bCs/>
                <w:sz w:val="28"/>
                <w:szCs w:val="24"/>
                <w:highlight w:val="yellow"/>
              </w:rPr>
            </w:pPr>
          </w:p>
        </w:tc>
      </w:tr>
      <w:tr w:rsidR="00123998" w:rsidRPr="00123998" w:rsidTr="00123998">
        <w:trPr>
          <w:trHeight w:val="470"/>
        </w:trPr>
        <w:tc>
          <w:tcPr>
            <w:tcW w:w="9889" w:type="dxa"/>
            <w:gridSpan w:val="6"/>
            <w:vAlign w:val="bottom"/>
          </w:tcPr>
          <w:p w:rsidR="00123998" w:rsidRPr="00123998" w:rsidRDefault="00123998" w:rsidP="00123998">
            <w:pPr>
              <w:rPr>
                <w:rFonts w:ascii="Arial" w:hAnsi="Arial" w:cs="Arial"/>
                <w:sz w:val="20"/>
                <w:szCs w:val="20"/>
                <w:highlight w:val="yellow"/>
                <w:lang w:val="en-US"/>
              </w:rPr>
            </w:pPr>
            <w:r w:rsidRPr="00123998">
              <w:rPr>
                <w:rFonts w:ascii="Arial" w:hAnsi="Arial" w:cs="Arial"/>
                <w:b/>
                <w:bCs/>
                <w:sz w:val="20"/>
                <w:szCs w:val="20"/>
                <w:lang w:val="en-US" w:eastAsia="en-GB"/>
              </w:rPr>
              <w:t>Action Taken to improve compliance</w:t>
            </w:r>
          </w:p>
        </w:tc>
      </w:tr>
      <w:tr w:rsidR="00123998" w:rsidRPr="00123998" w:rsidTr="00123998">
        <w:trPr>
          <w:trHeight w:val="1557"/>
        </w:trPr>
        <w:tc>
          <w:tcPr>
            <w:tcW w:w="9889" w:type="dxa"/>
            <w:gridSpan w:val="6"/>
          </w:tcPr>
          <w:p w:rsidR="00123998" w:rsidRPr="00123998" w:rsidRDefault="00123998" w:rsidP="00123998">
            <w:pPr>
              <w:numPr>
                <w:ilvl w:val="0"/>
                <w:numId w:val="29"/>
              </w:numPr>
              <w:ind w:left="720"/>
              <w:contextualSpacing/>
              <w:rPr>
                <w:rFonts w:ascii="Arial" w:hAnsi="Arial" w:cs="Arial"/>
              </w:rPr>
            </w:pPr>
            <w:r w:rsidRPr="00123998">
              <w:rPr>
                <w:rFonts w:ascii="Arial" w:hAnsi="Arial" w:cs="Arial"/>
              </w:rPr>
              <w:t>The Trust Nurse Career Pathway was launched in May 2020 and will support with providing a framework for staff to understand the opportunities open to nurses at CCC.</w:t>
            </w:r>
          </w:p>
          <w:p w:rsidR="00123998" w:rsidRPr="00123998" w:rsidRDefault="00123998" w:rsidP="00123998">
            <w:pPr>
              <w:numPr>
                <w:ilvl w:val="0"/>
                <w:numId w:val="29"/>
              </w:numPr>
              <w:ind w:left="720"/>
              <w:contextualSpacing/>
            </w:pPr>
            <w:r w:rsidRPr="00123998">
              <w:rPr>
                <w:rFonts w:ascii="Arial" w:hAnsi="Arial" w:cs="Arial"/>
              </w:rPr>
              <w:t xml:space="preserve">Action plan in place for reducing the turnover for Nursing staff, this is monitored through the Workforce, Education &amp; OD Committee. </w:t>
            </w:r>
          </w:p>
          <w:p w:rsidR="00123998" w:rsidRPr="00123998" w:rsidRDefault="00123998" w:rsidP="00123998">
            <w:pPr>
              <w:numPr>
                <w:ilvl w:val="0"/>
                <w:numId w:val="29"/>
              </w:numPr>
              <w:ind w:left="720"/>
              <w:contextualSpacing/>
            </w:pPr>
            <w:r w:rsidRPr="00123998">
              <w:rPr>
                <w:rFonts w:ascii="Arial" w:hAnsi="Arial" w:cs="Arial"/>
              </w:rPr>
              <w:t xml:space="preserve">Retention action plan in development for Admin and Clerical staff to support the stretch target for reducing turnover.  </w:t>
            </w:r>
          </w:p>
          <w:p w:rsidR="00123998" w:rsidRPr="00123998" w:rsidRDefault="00123998" w:rsidP="00123998">
            <w:pPr>
              <w:ind w:left="720"/>
              <w:contextualSpacing/>
            </w:pPr>
          </w:p>
        </w:tc>
      </w:tr>
      <w:tr w:rsidR="00123998" w:rsidRPr="00123998" w:rsidTr="00123998">
        <w:trPr>
          <w:trHeight w:val="369"/>
        </w:trPr>
        <w:tc>
          <w:tcPr>
            <w:tcW w:w="3403" w:type="dxa"/>
            <w:vAlign w:val="bottom"/>
          </w:tcPr>
          <w:p w:rsidR="00123998" w:rsidRPr="00123998" w:rsidRDefault="00123998" w:rsidP="00123998">
            <w:pPr>
              <w:rPr>
                <w:rFonts w:ascii="Arial" w:hAnsi="Arial" w:cs="Arial"/>
                <w:b/>
                <w:bCs/>
                <w:szCs w:val="20"/>
                <w:lang w:val="en-US" w:eastAsia="en-GB"/>
              </w:rPr>
            </w:pPr>
            <w:r w:rsidRPr="00123998">
              <w:rPr>
                <w:rFonts w:ascii="Arial" w:hAnsi="Arial" w:cs="Arial"/>
                <w:b/>
                <w:bCs/>
                <w:szCs w:val="20"/>
                <w:lang w:val="en-US" w:eastAsia="en-GB"/>
              </w:rPr>
              <w:t>Expected date of compliance</w:t>
            </w:r>
          </w:p>
        </w:tc>
        <w:tc>
          <w:tcPr>
            <w:tcW w:w="6486" w:type="dxa"/>
            <w:gridSpan w:val="5"/>
            <w:vAlign w:val="bottom"/>
          </w:tcPr>
          <w:p w:rsidR="00123998" w:rsidRPr="00123998" w:rsidRDefault="00123998" w:rsidP="00123998">
            <w:pPr>
              <w:rPr>
                <w:rFonts w:ascii="Arial" w:hAnsi="Arial" w:cs="Arial"/>
                <w:szCs w:val="20"/>
                <w:lang w:val="en-US"/>
              </w:rPr>
            </w:pPr>
            <w:r w:rsidRPr="00123998">
              <w:rPr>
                <w:rFonts w:ascii="Arial" w:hAnsi="Arial" w:cs="Arial"/>
                <w:szCs w:val="20"/>
                <w:lang w:val="en-US"/>
              </w:rPr>
              <w:t>October 2020</w:t>
            </w:r>
          </w:p>
        </w:tc>
      </w:tr>
      <w:tr w:rsidR="00123998" w:rsidRPr="00123998" w:rsidTr="00123998">
        <w:trPr>
          <w:trHeight w:val="402"/>
        </w:trPr>
        <w:tc>
          <w:tcPr>
            <w:tcW w:w="3403" w:type="dxa"/>
            <w:vAlign w:val="bottom"/>
          </w:tcPr>
          <w:p w:rsidR="00123998" w:rsidRPr="00123998" w:rsidRDefault="00123998" w:rsidP="00123998">
            <w:pPr>
              <w:rPr>
                <w:rFonts w:ascii="Arial" w:hAnsi="Arial" w:cs="Arial"/>
                <w:b/>
                <w:bCs/>
                <w:szCs w:val="20"/>
                <w:lang w:val="en-US" w:eastAsia="en-GB"/>
              </w:rPr>
            </w:pPr>
            <w:r w:rsidRPr="00123998">
              <w:rPr>
                <w:rFonts w:ascii="Arial" w:hAnsi="Arial" w:cs="Arial"/>
                <w:b/>
                <w:bCs/>
                <w:szCs w:val="20"/>
                <w:lang w:val="en-US" w:eastAsia="en-GB"/>
              </w:rPr>
              <w:t>Escalation route</w:t>
            </w:r>
          </w:p>
        </w:tc>
        <w:tc>
          <w:tcPr>
            <w:tcW w:w="6486" w:type="dxa"/>
            <w:gridSpan w:val="5"/>
            <w:vAlign w:val="bottom"/>
          </w:tcPr>
          <w:p w:rsidR="00123998" w:rsidRPr="00123998" w:rsidRDefault="00123998" w:rsidP="00123998">
            <w:pPr>
              <w:rPr>
                <w:rFonts w:ascii="Arial" w:hAnsi="Arial" w:cs="Arial"/>
                <w:color w:val="FF0000"/>
                <w:szCs w:val="20"/>
                <w:lang w:val="en-US" w:eastAsia="en-GB"/>
              </w:rPr>
            </w:pPr>
            <w:r w:rsidRPr="00123998">
              <w:rPr>
                <w:rFonts w:ascii="Arial" w:hAnsi="Arial" w:cs="Arial"/>
                <w:szCs w:val="20"/>
                <w:lang w:val="en-US" w:eastAsia="en-GB"/>
              </w:rPr>
              <w:t>Directorates, WOD Committee, Quality Committee</w:t>
            </w:r>
          </w:p>
        </w:tc>
      </w:tr>
      <w:tr w:rsidR="00123998" w:rsidRPr="00123998" w:rsidTr="00123998">
        <w:trPr>
          <w:trHeight w:val="423"/>
        </w:trPr>
        <w:tc>
          <w:tcPr>
            <w:tcW w:w="3403" w:type="dxa"/>
            <w:vAlign w:val="bottom"/>
          </w:tcPr>
          <w:p w:rsidR="00123998" w:rsidRPr="00123998" w:rsidRDefault="00123998" w:rsidP="00123998">
            <w:pPr>
              <w:rPr>
                <w:rFonts w:ascii="Arial" w:hAnsi="Arial" w:cs="Arial"/>
                <w:b/>
                <w:bCs/>
                <w:szCs w:val="20"/>
                <w:lang w:val="en-US" w:eastAsia="en-GB"/>
              </w:rPr>
            </w:pPr>
            <w:r w:rsidRPr="00123998">
              <w:rPr>
                <w:rFonts w:ascii="Arial" w:hAnsi="Arial" w:cs="Arial"/>
                <w:b/>
                <w:bCs/>
                <w:szCs w:val="20"/>
                <w:lang w:val="en-US" w:eastAsia="en-GB"/>
              </w:rPr>
              <w:t>Executive Lead</w:t>
            </w:r>
          </w:p>
        </w:tc>
        <w:tc>
          <w:tcPr>
            <w:tcW w:w="6486" w:type="dxa"/>
            <w:gridSpan w:val="5"/>
            <w:vAlign w:val="bottom"/>
          </w:tcPr>
          <w:p w:rsidR="00123998" w:rsidRPr="00123998" w:rsidRDefault="00123998" w:rsidP="00123998">
            <w:pPr>
              <w:rPr>
                <w:rFonts w:ascii="Arial" w:hAnsi="Arial" w:cs="Arial"/>
                <w:color w:val="FF0000"/>
                <w:szCs w:val="20"/>
                <w:lang w:val="en-US" w:eastAsia="en-GB"/>
              </w:rPr>
            </w:pPr>
            <w:r w:rsidRPr="00123998">
              <w:rPr>
                <w:rFonts w:ascii="Arial" w:hAnsi="Arial" w:cs="Arial"/>
                <w:szCs w:val="20"/>
                <w:lang w:val="en-US" w:eastAsia="en-GB"/>
              </w:rPr>
              <w:t xml:space="preserve">Jayne Shaw, Director of Workforce &amp; OD </w:t>
            </w:r>
          </w:p>
        </w:tc>
      </w:tr>
    </w:tbl>
    <w:p w:rsidR="00123998" w:rsidRDefault="00123998" w:rsidP="00AC7BB5"/>
    <w:tbl>
      <w:tblPr>
        <w:tblStyle w:val="TableGrid41"/>
        <w:tblpPr w:leftFromText="180" w:rightFromText="180" w:vertAnchor="text" w:horzAnchor="margin" w:tblpX="-318" w:tblpY="-23"/>
        <w:tblW w:w="9889" w:type="dxa"/>
        <w:tblLayout w:type="fixed"/>
        <w:tblLook w:val="04A0" w:firstRow="1" w:lastRow="0" w:firstColumn="1" w:lastColumn="0" w:noHBand="0" w:noVBand="1"/>
      </w:tblPr>
      <w:tblGrid>
        <w:gridCol w:w="3510"/>
        <w:gridCol w:w="1306"/>
        <w:gridCol w:w="254"/>
        <w:gridCol w:w="1417"/>
        <w:gridCol w:w="3402"/>
      </w:tblGrid>
      <w:tr w:rsidR="00504DEB" w:rsidRPr="00095B52" w:rsidTr="00123998">
        <w:trPr>
          <w:trHeight w:val="557"/>
        </w:trPr>
        <w:tc>
          <w:tcPr>
            <w:tcW w:w="3510" w:type="dxa"/>
            <w:vMerge w:val="restart"/>
            <w:shd w:val="clear" w:color="auto" w:fill="548DD4" w:themeFill="text2" w:themeFillTint="99"/>
            <w:vAlign w:val="center"/>
          </w:tcPr>
          <w:p w:rsidR="00504DEB" w:rsidRPr="00095B52" w:rsidRDefault="00504DEB" w:rsidP="00123998">
            <w:pPr>
              <w:rPr>
                <w:rFonts w:ascii="Arial" w:eastAsia="Calibri" w:hAnsi="Arial" w:cs="Arial"/>
                <w:b/>
                <w:bCs/>
                <w:sz w:val="28"/>
                <w:szCs w:val="24"/>
              </w:rPr>
            </w:pPr>
            <w:r w:rsidRPr="00124391">
              <w:rPr>
                <w:rFonts w:ascii="Arial" w:hAnsi="Arial" w:cs="Arial"/>
                <w:b/>
                <w:bCs/>
                <w:color w:val="FFFFFF"/>
                <w:sz w:val="24"/>
                <w:szCs w:val="20"/>
                <w:lang w:val="en-US"/>
              </w:rPr>
              <w:lastRenderedPageBreak/>
              <w:t>PADR rate</w:t>
            </w:r>
          </w:p>
        </w:tc>
        <w:tc>
          <w:tcPr>
            <w:tcW w:w="1560" w:type="dxa"/>
            <w:gridSpan w:val="2"/>
            <w:vAlign w:val="center"/>
          </w:tcPr>
          <w:p w:rsidR="00504DEB" w:rsidRPr="00095B52" w:rsidRDefault="00504DEB" w:rsidP="00123998">
            <w:pPr>
              <w:jc w:val="center"/>
              <w:rPr>
                <w:rFonts w:ascii="Arial" w:hAnsi="Arial" w:cs="Arial"/>
                <w:b/>
                <w:bCs/>
                <w:sz w:val="20"/>
                <w:szCs w:val="20"/>
                <w:lang w:val="en-US"/>
              </w:rPr>
            </w:pPr>
            <w:r w:rsidRPr="00095B52">
              <w:rPr>
                <w:rFonts w:ascii="Arial" w:hAnsi="Arial" w:cs="Arial"/>
                <w:b/>
                <w:bCs/>
                <w:sz w:val="20"/>
                <w:szCs w:val="20"/>
                <w:lang w:val="en-US"/>
              </w:rPr>
              <w:t>Target</w:t>
            </w:r>
          </w:p>
        </w:tc>
        <w:tc>
          <w:tcPr>
            <w:tcW w:w="1417" w:type="dxa"/>
            <w:vAlign w:val="center"/>
          </w:tcPr>
          <w:p w:rsidR="00504DEB" w:rsidRPr="00095B52" w:rsidRDefault="00504DEB" w:rsidP="00123998">
            <w:pPr>
              <w:jc w:val="center"/>
              <w:rPr>
                <w:rFonts w:ascii="Arial" w:hAnsi="Arial" w:cs="Arial"/>
                <w:b/>
                <w:bCs/>
                <w:sz w:val="20"/>
                <w:szCs w:val="20"/>
                <w:lang w:val="en-US"/>
              </w:rPr>
            </w:pPr>
            <w:r>
              <w:rPr>
                <w:rFonts w:ascii="Arial" w:hAnsi="Arial" w:cs="Arial"/>
                <w:b/>
                <w:bCs/>
                <w:sz w:val="20"/>
                <w:szCs w:val="20"/>
                <w:lang w:val="en-US"/>
              </w:rPr>
              <w:t xml:space="preserve">May </w:t>
            </w:r>
            <w:r w:rsidRPr="00095B52">
              <w:rPr>
                <w:rFonts w:ascii="Arial" w:hAnsi="Arial" w:cs="Arial"/>
                <w:b/>
                <w:bCs/>
                <w:sz w:val="20"/>
                <w:szCs w:val="20"/>
                <w:lang w:val="en-US"/>
              </w:rPr>
              <w:t>20</w:t>
            </w:r>
          </w:p>
        </w:tc>
        <w:tc>
          <w:tcPr>
            <w:tcW w:w="3402" w:type="dxa"/>
            <w:vAlign w:val="center"/>
          </w:tcPr>
          <w:p w:rsidR="00504DEB" w:rsidRPr="00095B52" w:rsidRDefault="00504DEB" w:rsidP="00123998">
            <w:pPr>
              <w:jc w:val="center"/>
              <w:rPr>
                <w:rFonts w:ascii="Arial" w:hAnsi="Arial" w:cs="Arial"/>
                <w:b/>
                <w:bCs/>
                <w:sz w:val="20"/>
                <w:szCs w:val="20"/>
                <w:lang w:val="en-US"/>
              </w:rPr>
            </w:pPr>
            <w:r>
              <w:rPr>
                <w:rFonts w:ascii="Arial" w:hAnsi="Arial" w:cs="Arial"/>
                <w:b/>
                <w:bCs/>
                <w:sz w:val="20"/>
                <w:szCs w:val="20"/>
                <w:lang w:val="en-US"/>
              </w:rPr>
              <w:t>12 Month trend</w:t>
            </w:r>
          </w:p>
        </w:tc>
      </w:tr>
      <w:tr w:rsidR="00504DEB" w:rsidRPr="00095B52" w:rsidTr="00123998">
        <w:trPr>
          <w:trHeight w:val="552"/>
        </w:trPr>
        <w:tc>
          <w:tcPr>
            <w:tcW w:w="3510" w:type="dxa"/>
            <w:vMerge/>
            <w:shd w:val="clear" w:color="auto" w:fill="548DD4" w:themeFill="text2" w:themeFillTint="99"/>
          </w:tcPr>
          <w:p w:rsidR="00504DEB" w:rsidRPr="00095B52" w:rsidRDefault="00504DEB" w:rsidP="00123998">
            <w:pPr>
              <w:jc w:val="both"/>
              <w:rPr>
                <w:rFonts w:ascii="Arial" w:eastAsia="Calibri" w:hAnsi="Arial" w:cs="Arial"/>
                <w:b/>
                <w:bCs/>
                <w:sz w:val="28"/>
                <w:szCs w:val="24"/>
              </w:rPr>
            </w:pPr>
          </w:p>
        </w:tc>
        <w:tc>
          <w:tcPr>
            <w:tcW w:w="1560" w:type="dxa"/>
            <w:gridSpan w:val="2"/>
            <w:vAlign w:val="center"/>
          </w:tcPr>
          <w:p w:rsidR="00504DEB" w:rsidRPr="00273BFB" w:rsidRDefault="00504DEB" w:rsidP="00123998">
            <w:pPr>
              <w:jc w:val="center"/>
              <w:rPr>
                <w:rFonts w:ascii="Arial" w:hAnsi="Arial" w:cs="Arial"/>
                <w:sz w:val="16"/>
                <w:szCs w:val="20"/>
                <w:lang w:val="en-US"/>
              </w:rPr>
            </w:pPr>
            <w:r w:rsidRPr="00273BFB">
              <w:rPr>
                <w:rFonts w:ascii="Arial" w:hAnsi="Arial" w:cs="Arial"/>
                <w:sz w:val="16"/>
                <w:szCs w:val="20"/>
                <w:lang w:val="en-US"/>
              </w:rPr>
              <w:t xml:space="preserve">G: =&gt;95%, </w:t>
            </w:r>
          </w:p>
          <w:p w:rsidR="00504DEB" w:rsidRPr="00273BFB" w:rsidRDefault="00504DEB" w:rsidP="00123998">
            <w:pPr>
              <w:jc w:val="center"/>
              <w:rPr>
                <w:rFonts w:ascii="Arial" w:hAnsi="Arial" w:cs="Arial"/>
                <w:sz w:val="16"/>
                <w:szCs w:val="20"/>
                <w:lang w:val="en-US"/>
              </w:rPr>
            </w:pPr>
            <w:r w:rsidRPr="00273BFB">
              <w:rPr>
                <w:rFonts w:ascii="Arial" w:hAnsi="Arial" w:cs="Arial"/>
                <w:sz w:val="16"/>
                <w:szCs w:val="20"/>
                <w:lang w:val="en-US"/>
              </w:rPr>
              <w:t>A: 75 - 94.9%,</w:t>
            </w:r>
          </w:p>
          <w:p w:rsidR="00504DEB" w:rsidRPr="00095B52" w:rsidRDefault="00504DEB" w:rsidP="00123998">
            <w:pPr>
              <w:jc w:val="center"/>
              <w:rPr>
                <w:rFonts w:ascii="Arial" w:hAnsi="Arial" w:cs="Arial"/>
                <w:color w:val="FFFFFF"/>
                <w:sz w:val="20"/>
                <w:szCs w:val="20"/>
                <w:lang w:val="en-US"/>
              </w:rPr>
            </w:pPr>
            <w:r w:rsidRPr="00273BFB">
              <w:rPr>
                <w:rFonts w:ascii="Arial" w:hAnsi="Arial" w:cs="Arial"/>
                <w:sz w:val="16"/>
                <w:szCs w:val="20"/>
                <w:lang w:val="en-US"/>
              </w:rPr>
              <w:t xml:space="preserve"> R: =&lt;75%</w:t>
            </w:r>
          </w:p>
        </w:tc>
        <w:tc>
          <w:tcPr>
            <w:tcW w:w="1417" w:type="dxa"/>
            <w:shd w:val="clear" w:color="auto" w:fill="FFC000"/>
            <w:vAlign w:val="center"/>
          </w:tcPr>
          <w:p w:rsidR="00504DEB" w:rsidRPr="00095B52" w:rsidRDefault="00504DEB" w:rsidP="00123998">
            <w:pPr>
              <w:jc w:val="center"/>
              <w:rPr>
                <w:rFonts w:ascii="Arial" w:hAnsi="Arial" w:cs="Arial"/>
                <w:color w:val="FFFFFF"/>
                <w:sz w:val="20"/>
                <w:szCs w:val="20"/>
                <w:lang w:val="en-US"/>
              </w:rPr>
            </w:pPr>
            <w:r w:rsidRPr="00095B52">
              <w:rPr>
                <w:rFonts w:ascii="Arial" w:hAnsi="Arial" w:cs="Arial"/>
                <w:sz w:val="20"/>
                <w:szCs w:val="20"/>
                <w:lang w:val="en-US"/>
              </w:rPr>
              <w:t>85.39%</w:t>
            </w:r>
          </w:p>
        </w:tc>
        <w:tc>
          <w:tcPr>
            <w:tcW w:w="3402" w:type="dxa"/>
            <w:shd w:val="clear" w:color="auto" w:fill="auto"/>
            <w:vAlign w:val="center"/>
          </w:tcPr>
          <w:p w:rsidR="00504DEB" w:rsidRPr="00095B52" w:rsidRDefault="00504DEB" w:rsidP="00123998">
            <w:pPr>
              <w:jc w:val="center"/>
              <w:rPr>
                <w:rFonts w:ascii="Arial" w:hAnsi="Arial" w:cs="Arial"/>
                <w:color w:val="FFFFFF"/>
                <w:sz w:val="20"/>
                <w:szCs w:val="20"/>
                <w:lang w:val="en-US"/>
              </w:rPr>
            </w:pPr>
            <w:r>
              <w:rPr>
                <w:rFonts w:ascii="Arial" w:hAnsi="Arial" w:cs="Arial"/>
                <w:noProof/>
                <w:color w:val="FFFFFF"/>
                <w:sz w:val="20"/>
                <w:szCs w:val="20"/>
                <w:lang w:eastAsia="en-GB"/>
              </w:rPr>
              <w:drawing>
                <wp:inline distT="0" distB="0" distL="0" distR="0" wp14:anchorId="5DCE8769" wp14:editId="572DA9E6">
                  <wp:extent cx="1921669" cy="304357"/>
                  <wp:effectExtent l="0" t="0" r="2540" b="63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924466" cy="304800"/>
                          </a:xfrm>
                          <a:prstGeom prst="rect">
                            <a:avLst/>
                          </a:prstGeom>
                          <a:noFill/>
                        </pic:spPr>
                      </pic:pic>
                    </a:graphicData>
                  </a:graphic>
                </wp:inline>
              </w:drawing>
            </w:r>
          </w:p>
        </w:tc>
      </w:tr>
      <w:tr w:rsidR="00504DEB" w:rsidRPr="008E708A" w:rsidTr="00123998">
        <w:trPr>
          <w:trHeight w:val="2966"/>
        </w:trPr>
        <w:tc>
          <w:tcPr>
            <w:tcW w:w="9889" w:type="dxa"/>
            <w:gridSpan w:val="5"/>
          </w:tcPr>
          <w:p w:rsidR="00504DEB" w:rsidRPr="00504DEB" w:rsidRDefault="00504DEB" w:rsidP="00123998">
            <w:pPr>
              <w:jc w:val="both"/>
              <w:rPr>
                <w:rFonts w:ascii="Arial" w:hAnsi="Arial" w:cs="Arial"/>
                <w:b/>
                <w:bCs/>
                <w:sz w:val="12"/>
                <w:szCs w:val="12"/>
                <w:lang w:val="en-US" w:eastAsia="en-GB"/>
              </w:rPr>
            </w:pPr>
          </w:p>
          <w:p w:rsidR="00504DEB" w:rsidRPr="008E708A" w:rsidRDefault="00504DEB" w:rsidP="00123998">
            <w:pPr>
              <w:jc w:val="both"/>
              <w:rPr>
                <w:rFonts w:ascii="Arial" w:hAnsi="Arial" w:cs="Arial"/>
                <w:b/>
                <w:bCs/>
                <w:sz w:val="24"/>
                <w:szCs w:val="24"/>
                <w:lang w:val="en-US" w:eastAsia="en-GB"/>
              </w:rPr>
            </w:pPr>
            <w:r w:rsidRPr="008E708A">
              <w:rPr>
                <w:rFonts w:ascii="Arial" w:hAnsi="Arial" w:cs="Arial"/>
                <w:b/>
                <w:bCs/>
                <w:sz w:val="24"/>
                <w:szCs w:val="24"/>
                <w:lang w:val="en-US" w:eastAsia="en-GB"/>
              </w:rPr>
              <w:t>Reason for non-compliance:</w:t>
            </w:r>
          </w:p>
          <w:p w:rsidR="00504DEB" w:rsidRPr="00504DEB" w:rsidRDefault="00504DEB" w:rsidP="00123998">
            <w:pPr>
              <w:jc w:val="both"/>
              <w:rPr>
                <w:rFonts w:ascii="Arial" w:hAnsi="Arial" w:cs="Arial"/>
                <w:b/>
                <w:bCs/>
                <w:sz w:val="12"/>
                <w:szCs w:val="12"/>
                <w:lang w:val="en-US" w:eastAsia="en-GB"/>
              </w:rPr>
            </w:pPr>
          </w:p>
          <w:p w:rsidR="00504DEB" w:rsidRPr="008E708A" w:rsidRDefault="00504DEB" w:rsidP="00123998">
            <w:pPr>
              <w:jc w:val="both"/>
              <w:rPr>
                <w:rFonts w:ascii="Arial" w:hAnsi="Arial" w:cs="Arial"/>
                <w:sz w:val="24"/>
                <w:szCs w:val="24"/>
              </w:rPr>
            </w:pPr>
            <w:r w:rsidRPr="008E708A">
              <w:rPr>
                <w:rFonts w:ascii="Arial" w:hAnsi="Arial" w:cs="Arial"/>
                <w:sz w:val="24"/>
                <w:szCs w:val="24"/>
              </w:rPr>
              <w:t xml:space="preserve">Trust compliance for PADRs as at May 2020 is 85.39%, which is below the target of 95% and a decline of 2.96% from the previous month.  </w:t>
            </w:r>
          </w:p>
          <w:p w:rsidR="00504DEB" w:rsidRPr="00504DEB" w:rsidRDefault="00504DEB" w:rsidP="00123998">
            <w:pPr>
              <w:jc w:val="both"/>
              <w:rPr>
                <w:rFonts w:ascii="Arial" w:hAnsi="Arial" w:cs="Arial"/>
                <w:sz w:val="12"/>
                <w:szCs w:val="12"/>
              </w:rPr>
            </w:pPr>
          </w:p>
          <w:p w:rsidR="00504DEB" w:rsidRPr="008E708A" w:rsidRDefault="00504DEB" w:rsidP="00123998">
            <w:pPr>
              <w:jc w:val="both"/>
              <w:rPr>
                <w:rFonts w:ascii="Arial" w:hAnsi="Arial" w:cs="Arial"/>
                <w:sz w:val="24"/>
                <w:szCs w:val="24"/>
              </w:rPr>
            </w:pPr>
            <w:r w:rsidRPr="008E708A">
              <w:rPr>
                <w:rFonts w:ascii="Arial" w:hAnsi="Arial" w:cs="Arial"/>
                <w:sz w:val="24"/>
                <w:szCs w:val="24"/>
              </w:rPr>
              <w:t>All directorates with the exception of Service Improvement are underperforming against the KPI.</w:t>
            </w:r>
          </w:p>
          <w:p w:rsidR="00504DEB" w:rsidRPr="00504DEB" w:rsidRDefault="00504DEB" w:rsidP="00123998">
            <w:pPr>
              <w:jc w:val="both"/>
              <w:rPr>
                <w:rFonts w:ascii="Arial" w:hAnsi="Arial" w:cs="Arial"/>
                <w:sz w:val="12"/>
                <w:szCs w:val="12"/>
              </w:rPr>
            </w:pPr>
          </w:p>
          <w:p w:rsidR="00504DEB" w:rsidRPr="008E708A" w:rsidRDefault="00504DEB" w:rsidP="00123998">
            <w:pPr>
              <w:jc w:val="both"/>
              <w:rPr>
                <w:rFonts w:ascii="Arial" w:hAnsi="Arial" w:cs="Arial"/>
                <w:sz w:val="24"/>
                <w:szCs w:val="24"/>
                <w:lang w:val="en-US"/>
              </w:rPr>
            </w:pPr>
            <w:r w:rsidRPr="008E708A">
              <w:rPr>
                <w:rFonts w:ascii="Arial" w:hAnsi="Arial" w:cs="Arial"/>
                <w:sz w:val="24"/>
                <w:szCs w:val="24"/>
                <w:lang w:val="en-US"/>
              </w:rPr>
              <w:t>The PADR window for 2020/21 opened on 1</w:t>
            </w:r>
            <w:r w:rsidRPr="008E708A">
              <w:rPr>
                <w:rFonts w:ascii="Arial" w:hAnsi="Arial" w:cs="Arial"/>
                <w:sz w:val="24"/>
                <w:szCs w:val="24"/>
                <w:vertAlign w:val="superscript"/>
                <w:lang w:val="en-US"/>
              </w:rPr>
              <w:t>st</w:t>
            </w:r>
            <w:r w:rsidRPr="008E708A">
              <w:rPr>
                <w:rFonts w:ascii="Arial" w:hAnsi="Arial" w:cs="Arial"/>
                <w:sz w:val="24"/>
                <w:szCs w:val="24"/>
                <w:lang w:val="en-US"/>
              </w:rPr>
              <w:t xml:space="preserve"> March 2020, however due to COVID-19 and the need to free up clinical capacity, the Trust paused PADR completion for a 4 week period during April. </w:t>
            </w:r>
          </w:p>
          <w:p w:rsidR="00504DEB" w:rsidRPr="00504DEB" w:rsidRDefault="00504DEB" w:rsidP="00123998">
            <w:pPr>
              <w:jc w:val="both"/>
              <w:rPr>
                <w:rFonts w:ascii="Arial" w:hAnsi="Arial" w:cs="Arial"/>
                <w:sz w:val="12"/>
                <w:szCs w:val="12"/>
                <w:lang w:val="en-US"/>
              </w:rPr>
            </w:pPr>
          </w:p>
          <w:p w:rsidR="00504DEB" w:rsidRPr="008E708A" w:rsidRDefault="00504DEB" w:rsidP="00123998">
            <w:pPr>
              <w:jc w:val="both"/>
              <w:rPr>
                <w:rFonts w:ascii="Arial" w:hAnsi="Arial" w:cs="Arial"/>
                <w:sz w:val="24"/>
                <w:szCs w:val="24"/>
                <w:lang w:val="en-US"/>
              </w:rPr>
            </w:pPr>
            <w:r w:rsidRPr="008E708A">
              <w:rPr>
                <w:rFonts w:ascii="Arial" w:hAnsi="Arial" w:cs="Arial"/>
                <w:sz w:val="24"/>
                <w:szCs w:val="24"/>
                <w:lang w:val="en-US"/>
              </w:rPr>
              <w:t>The PADR window was reopened in May and will close in September 2020 when it is expected that all areas will have achieved compliance of 95%.</w:t>
            </w:r>
          </w:p>
          <w:p w:rsidR="00504DEB" w:rsidRPr="008E708A" w:rsidRDefault="00504DEB" w:rsidP="00123998">
            <w:pPr>
              <w:jc w:val="both"/>
              <w:rPr>
                <w:rFonts w:ascii="Arial" w:hAnsi="Arial" w:cs="Arial"/>
                <w:sz w:val="24"/>
                <w:szCs w:val="24"/>
                <w:lang w:val="en-US"/>
              </w:rPr>
            </w:pPr>
          </w:p>
        </w:tc>
      </w:tr>
      <w:tr w:rsidR="00504DEB" w:rsidRPr="008E708A" w:rsidTr="00123998">
        <w:trPr>
          <w:trHeight w:val="1784"/>
        </w:trPr>
        <w:tc>
          <w:tcPr>
            <w:tcW w:w="9889" w:type="dxa"/>
            <w:gridSpan w:val="5"/>
          </w:tcPr>
          <w:p w:rsidR="00504DEB" w:rsidRPr="00504DEB" w:rsidRDefault="00504DEB" w:rsidP="00123998">
            <w:pPr>
              <w:jc w:val="both"/>
              <w:rPr>
                <w:rFonts w:ascii="Arial" w:hAnsi="Arial" w:cs="Arial"/>
                <w:b/>
                <w:bCs/>
                <w:sz w:val="12"/>
                <w:szCs w:val="12"/>
                <w:lang w:val="en-US" w:eastAsia="en-GB"/>
              </w:rPr>
            </w:pPr>
          </w:p>
          <w:p w:rsidR="00504DEB" w:rsidRPr="008E708A" w:rsidRDefault="00504DEB" w:rsidP="00123998">
            <w:pPr>
              <w:jc w:val="both"/>
              <w:rPr>
                <w:rFonts w:ascii="Arial" w:hAnsi="Arial" w:cs="Arial"/>
                <w:b/>
                <w:bCs/>
                <w:sz w:val="24"/>
                <w:szCs w:val="24"/>
                <w:lang w:val="en-US" w:eastAsia="en-GB"/>
              </w:rPr>
            </w:pPr>
            <w:r w:rsidRPr="008E708A">
              <w:rPr>
                <w:rFonts w:ascii="Arial" w:hAnsi="Arial" w:cs="Arial"/>
                <w:b/>
                <w:bCs/>
                <w:sz w:val="24"/>
                <w:szCs w:val="24"/>
                <w:lang w:val="en-US" w:eastAsia="en-GB"/>
              </w:rPr>
              <w:t>Action Taken to improve compliance:</w:t>
            </w:r>
          </w:p>
          <w:p w:rsidR="00504DEB" w:rsidRPr="00504DEB" w:rsidRDefault="00504DEB" w:rsidP="00123998">
            <w:pPr>
              <w:jc w:val="both"/>
              <w:rPr>
                <w:rFonts w:ascii="Arial" w:eastAsia="Calibri" w:hAnsi="Arial" w:cs="Arial"/>
                <w:b/>
                <w:bCs/>
                <w:sz w:val="12"/>
                <w:szCs w:val="12"/>
                <w:highlight w:val="yellow"/>
              </w:rPr>
            </w:pPr>
          </w:p>
          <w:p w:rsidR="00504DEB" w:rsidRPr="008E708A" w:rsidRDefault="00504DEB" w:rsidP="00123998">
            <w:pPr>
              <w:numPr>
                <w:ilvl w:val="0"/>
                <w:numId w:val="30"/>
              </w:numPr>
              <w:contextualSpacing/>
              <w:rPr>
                <w:rFonts w:ascii="Arial" w:hAnsi="Arial" w:cs="Arial"/>
                <w:sz w:val="24"/>
                <w:szCs w:val="24"/>
                <w:lang w:val="en-US"/>
              </w:rPr>
            </w:pPr>
            <w:r w:rsidRPr="008E708A">
              <w:rPr>
                <w:rFonts w:ascii="Arial" w:hAnsi="Arial" w:cs="Arial"/>
                <w:sz w:val="24"/>
                <w:szCs w:val="24"/>
                <w:lang w:val="en-US"/>
              </w:rPr>
              <w:t>Reminder emails have been sent to managers whose staff are non-compliant</w:t>
            </w:r>
          </w:p>
          <w:p w:rsidR="00504DEB" w:rsidRPr="008E708A" w:rsidRDefault="00504DEB" w:rsidP="00123998">
            <w:pPr>
              <w:numPr>
                <w:ilvl w:val="0"/>
                <w:numId w:val="30"/>
              </w:numPr>
              <w:contextualSpacing/>
              <w:rPr>
                <w:rFonts w:ascii="Arial" w:hAnsi="Arial" w:cs="Arial"/>
                <w:sz w:val="24"/>
                <w:szCs w:val="24"/>
                <w:lang w:val="en-US"/>
              </w:rPr>
            </w:pPr>
            <w:r w:rsidRPr="008E708A">
              <w:rPr>
                <w:rFonts w:ascii="Arial" w:hAnsi="Arial" w:cs="Arial"/>
                <w:sz w:val="24"/>
                <w:szCs w:val="24"/>
                <w:lang w:val="en-US"/>
              </w:rPr>
              <w:t>Revised process for new starters introduced from January 2020</w:t>
            </w:r>
          </w:p>
          <w:p w:rsidR="00504DEB" w:rsidRPr="008E708A" w:rsidRDefault="00504DEB" w:rsidP="00123998">
            <w:pPr>
              <w:numPr>
                <w:ilvl w:val="0"/>
                <w:numId w:val="30"/>
              </w:numPr>
              <w:contextualSpacing/>
              <w:jc w:val="both"/>
              <w:rPr>
                <w:rFonts w:ascii="Arial" w:eastAsia="Calibri" w:hAnsi="Arial" w:cs="Arial"/>
                <w:b/>
                <w:bCs/>
                <w:sz w:val="24"/>
                <w:szCs w:val="24"/>
              </w:rPr>
            </w:pPr>
            <w:r w:rsidRPr="008E708A">
              <w:rPr>
                <w:rFonts w:ascii="Arial" w:hAnsi="Arial" w:cs="Arial"/>
                <w:sz w:val="24"/>
                <w:szCs w:val="24"/>
                <w:lang w:val="en-US"/>
              </w:rPr>
              <w:t>Increased number of manager and staff PADR training sessions via MS Teams</w:t>
            </w:r>
          </w:p>
          <w:p w:rsidR="00504DEB" w:rsidRPr="008E708A" w:rsidRDefault="00504DEB" w:rsidP="00123998">
            <w:pPr>
              <w:numPr>
                <w:ilvl w:val="0"/>
                <w:numId w:val="30"/>
              </w:numPr>
              <w:contextualSpacing/>
              <w:jc w:val="both"/>
              <w:rPr>
                <w:rFonts w:ascii="Arial" w:eastAsia="Calibri" w:hAnsi="Arial" w:cs="Arial"/>
                <w:b/>
                <w:bCs/>
                <w:sz w:val="24"/>
                <w:szCs w:val="24"/>
              </w:rPr>
            </w:pPr>
            <w:r w:rsidRPr="008E708A">
              <w:rPr>
                <w:rFonts w:ascii="Arial" w:hAnsi="Arial" w:cs="Arial"/>
                <w:sz w:val="24"/>
                <w:szCs w:val="24"/>
                <w:lang w:val="en-US"/>
              </w:rPr>
              <w:t>Pay Progression policy includes the requirement for compliance with PADR in order to receive their next pay step.</w:t>
            </w:r>
          </w:p>
          <w:p w:rsidR="00504DEB" w:rsidRPr="00504DEB" w:rsidRDefault="00504DEB" w:rsidP="00123998">
            <w:pPr>
              <w:ind w:left="1140"/>
              <w:contextualSpacing/>
              <w:jc w:val="both"/>
              <w:rPr>
                <w:rFonts w:ascii="Arial" w:eastAsia="Calibri" w:hAnsi="Arial" w:cs="Arial"/>
                <w:b/>
                <w:bCs/>
                <w:sz w:val="12"/>
                <w:szCs w:val="12"/>
              </w:rPr>
            </w:pPr>
          </w:p>
        </w:tc>
      </w:tr>
      <w:tr w:rsidR="00504DEB" w:rsidRPr="008E708A" w:rsidTr="00123998">
        <w:trPr>
          <w:trHeight w:val="369"/>
        </w:trPr>
        <w:tc>
          <w:tcPr>
            <w:tcW w:w="4816" w:type="dxa"/>
            <w:gridSpan w:val="2"/>
            <w:vAlign w:val="center"/>
          </w:tcPr>
          <w:p w:rsidR="00504DEB" w:rsidRPr="008E708A" w:rsidRDefault="00504DEB" w:rsidP="00123998">
            <w:pPr>
              <w:rPr>
                <w:rFonts w:ascii="Arial" w:hAnsi="Arial" w:cs="Arial"/>
                <w:b/>
                <w:bCs/>
                <w:sz w:val="24"/>
                <w:szCs w:val="24"/>
                <w:lang w:val="en-US" w:eastAsia="en-GB"/>
              </w:rPr>
            </w:pPr>
            <w:r w:rsidRPr="008E708A">
              <w:rPr>
                <w:rFonts w:ascii="Arial" w:hAnsi="Arial" w:cs="Arial"/>
                <w:b/>
                <w:bCs/>
                <w:sz w:val="24"/>
                <w:szCs w:val="24"/>
                <w:lang w:val="en-US" w:eastAsia="en-GB"/>
              </w:rPr>
              <w:t>Expected date of compliance</w:t>
            </w:r>
          </w:p>
        </w:tc>
        <w:tc>
          <w:tcPr>
            <w:tcW w:w="5073" w:type="dxa"/>
            <w:gridSpan w:val="3"/>
            <w:vAlign w:val="center"/>
          </w:tcPr>
          <w:p w:rsidR="00504DEB" w:rsidRPr="008E708A" w:rsidRDefault="00504DEB" w:rsidP="00123998">
            <w:pPr>
              <w:rPr>
                <w:rFonts w:ascii="Arial" w:hAnsi="Arial" w:cs="Arial"/>
                <w:sz w:val="24"/>
                <w:szCs w:val="24"/>
                <w:lang w:val="en-US"/>
              </w:rPr>
            </w:pPr>
            <w:r w:rsidRPr="008E708A">
              <w:rPr>
                <w:rFonts w:ascii="Arial" w:hAnsi="Arial" w:cs="Arial"/>
                <w:sz w:val="24"/>
                <w:szCs w:val="24"/>
                <w:lang w:val="en-US"/>
              </w:rPr>
              <w:t>30</w:t>
            </w:r>
            <w:r w:rsidRPr="008E708A">
              <w:rPr>
                <w:rFonts w:ascii="Arial" w:hAnsi="Arial" w:cs="Arial"/>
                <w:sz w:val="24"/>
                <w:szCs w:val="24"/>
                <w:vertAlign w:val="superscript"/>
                <w:lang w:val="en-US"/>
              </w:rPr>
              <w:t>th</w:t>
            </w:r>
            <w:r w:rsidRPr="008E708A">
              <w:rPr>
                <w:rFonts w:ascii="Arial" w:hAnsi="Arial" w:cs="Arial"/>
                <w:sz w:val="24"/>
                <w:szCs w:val="24"/>
                <w:lang w:val="en-US"/>
              </w:rPr>
              <w:t xml:space="preserve"> September 2020</w:t>
            </w:r>
          </w:p>
        </w:tc>
      </w:tr>
      <w:tr w:rsidR="00504DEB" w:rsidRPr="008E708A" w:rsidTr="00123998">
        <w:trPr>
          <w:trHeight w:val="402"/>
        </w:trPr>
        <w:tc>
          <w:tcPr>
            <w:tcW w:w="4816" w:type="dxa"/>
            <w:gridSpan w:val="2"/>
            <w:vAlign w:val="center"/>
          </w:tcPr>
          <w:p w:rsidR="00504DEB" w:rsidRPr="008E708A" w:rsidRDefault="00504DEB" w:rsidP="00123998">
            <w:pPr>
              <w:rPr>
                <w:rFonts w:ascii="Arial" w:hAnsi="Arial" w:cs="Arial"/>
                <w:b/>
                <w:bCs/>
                <w:sz w:val="24"/>
                <w:szCs w:val="24"/>
                <w:lang w:val="en-US" w:eastAsia="en-GB"/>
              </w:rPr>
            </w:pPr>
            <w:r w:rsidRPr="008E708A">
              <w:rPr>
                <w:rFonts w:ascii="Arial" w:hAnsi="Arial" w:cs="Arial"/>
                <w:b/>
                <w:bCs/>
                <w:sz w:val="24"/>
                <w:szCs w:val="24"/>
                <w:lang w:val="en-US" w:eastAsia="en-GB"/>
              </w:rPr>
              <w:t>Escalation route</w:t>
            </w:r>
          </w:p>
        </w:tc>
        <w:tc>
          <w:tcPr>
            <w:tcW w:w="5073" w:type="dxa"/>
            <w:gridSpan w:val="3"/>
            <w:vAlign w:val="center"/>
          </w:tcPr>
          <w:p w:rsidR="00504DEB" w:rsidRPr="008E708A" w:rsidRDefault="00504DEB" w:rsidP="00123998">
            <w:pPr>
              <w:rPr>
                <w:rFonts w:ascii="Arial" w:hAnsi="Arial" w:cs="Arial"/>
                <w:sz w:val="24"/>
                <w:szCs w:val="24"/>
                <w:lang w:val="en-US" w:eastAsia="en-GB"/>
              </w:rPr>
            </w:pPr>
            <w:r w:rsidRPr="008E708A">
              <w:rPr>
                <w:rFonts w:ascii="Arial" w:hAnsi="Arial" w:cs="Arial"/>
                <w:sz w:val="24"/>
                <w:szCs w:val="24"/>
                <w:lang w:val="en-US" w:eastAsia="en-GB"/>
              </w:rPr>
              <w:t xml:space="preserve">Directorates, WOD Committee, Quality Committee, </w:t>
            </w:r>
          </w:p>
          <w:p w:rsidR="00504DEB" w:rsidRPr="008E708A" w:rsidRDefault="00504DEB" w:rsidP="00123998">
            <w:pPr>
              <w:rPr>
                <w:rFonts w:ascii="Arial" w:hAnsi="Arial" w:cs="Arial"/>
                <w:sz w:val="24"/>
                <w:szCs w:val="24"/>
                <w:lang w:val="en-US" w:eastAsia="en-GB"/>
              </w:rPr>
            </w:pPr>
            <w:r w:rsidRPr="008E708A">
              <w:rPr>
                <w:rFonts w:ascii="Arial" w:hAnsi="Arial" w:cs="Arial"/>
                <w:sz w:val="24"/>
                <w:szCs w:val="24"/>
                <w:lang w:val="en-US" w:eastAsia="en-GB"/>
              </w:rPr>
              <w:t>Board of Directors</w:t>
            </w:r>
          </w:p>
        </w:tc>
      </w:tr>
      <w:tr w:rsidR="00504DEB" w:rsidRPr="008E708A" w:rsidTr="00123998">
        <w:trPr>
          <w:trHeight w:val="423"/>
        </w:trPr>
        <w:tc>
          <w:tcPr>
            <w:tcW w:w="4816" w:type="dxa"/>
            <w:gridSpan w:val="2"/>
            <w:vAlign w:val="center"/>
          </w:tcPr>
          <w:p w:rsidR="00504DEB" w:rsidRPr="008E708A" w:rsidRDefault="00504DEB" w:rsidP="00123998">
            <w:pPr>
              <w:rPr>
                <w:rFonts w:ascii="Arial" w:hAnsi="Arial" w:cs="Arial"/>
                <w:b/>
                <w:bCs/>
                <w:sz w:val="24"/>
                <w:szCs w:val="24"/>
                <w:lang w:val="en-US" w:eastAsia="en-GB"/>
              </w:rPr>
            </w:pPr>
            <w:r w:rsidRPr="008E708A">
              <w:rPr>
                <w:rFonts w:ascii="Arial" w:hAnsi="Arial" w:cs="Arial"/>
                <w:b/>
                <w:bCs/>
                <w:sz w:val="24"/>
                <w:szCs w:val="24"/>
                <w:lang w:val="en-US" w:eastAsia="en-GB"/>
              </w:rPr>
              <w:t>Executive Lead</w:t>
            </w:r>
          </w:p>
        </w:tc>
        <w:tc>
          <w:tcPr>
            <w:tcW w:w="5073" w:type="dxa"/>
            <w:gridSpan w:val="3"/>
            <w:vAlign w:val="center"/>
          </w:tcPr>
          <w:p w:rsidR="00504DEB" w:rsidRPr="008E708A" w:rsidRDefault="00504DEB" w:rsidP="00123998">
            <w:pPr>
              <w:rPr>
                <w:rFonts w:ascii="Arial" w:hAnsi="Arial" w:cs="Arial"/>
                <w:sz w:val="24"/>
                <w:szCs w:val="24"/>
                <w:lang w:val="en-US" w:eastAsia="en-GB"/>
              </w:rPr>
            </w:pPr>
            <w:r w:rsidRPr="008E708A">
              <w:rPr>
                <w:rFonts w:ascii="Arial" w:hAnsi="Arial" w:cs="Arial"/>
                <w:sz w:val="24"/>
                <w:szCs w:val="24"/>
                <w:lang w:val="en-US" w:eastAsia="en-GB"/>
              </w:rPr>
              <w:t xml:space="preserve">Jayne Shaw, Director of Workforce &amp; OD </w:t>
            </w:r>
          </w:p>
        </w:tc>
      </w:tr>
    </w:tbl>
    <w:p w:rsidR="00504DEB" w:rsidRPr="00AC7BB5" w:rsidRDefault="00504DEB" w:rsidP="00AC7BB5"/>
    <w:p w:rsidR="0032260B" w:rsidRDefault="0032260B">
      <w:pPr>
        <w:rPr>
          <w:highlight w:val="yellow"/>
        </w:rPr>
      </w:pPr>
    </w:p>
    <w:p w:rsidR="00A36BA4" w:rsidRDefault="00A36BA4">
      <w:pPr>
        <w:rPr>
          <w:highlight w:val="yellow"/>
        </w:rPr>
      </w:pPr>
    </w:p>
    <w:p w:rsidR="00A36BA4" w:rsidRDefault="00A36BA4">
      <w:pPr>
        <w:rPr>
          <w:highlight w:val="yellow"/>
        </w:rPr>
      </w:pPr>
    </w:p>
    <w:p w:rsidR="00A36BA4" w:rsidRDefault="00A36BA4">
      <w:pPr>
        <w:rPr>
          <w:highlight w:val="yellow"/>
        </w:rPr>
      </w:pPr>
    </w:p>
    <w:p w:rsidR="00A36BA4" w:rsidRDefault="00A36BA4">
      <w:pPr>
        <w:rPr>
          <w:highlight w:val="yellow"/>
        </w:rPr>
      </w:pPr>
    </w:p>
    <w:p w:rsidR="00A36BA4" w:rsidRDefault="00A36BA4">
      <w:pPr>
        <w:rPr>
          <w:highlight w:val="yellow"/>
        </w:rPr>
      </w:pPr>
    </w:p>
    <w:p w:rsidR="00A36BA4" w:rsidRDefault="00A36BA4">
      <w:pPr>
        <w:rPr>
          <w:highlight w:val="yellow"/>
        </w:rPr>
      </w:pPr>
    </w:p>
    <w:p w:rsidR="00A36BA4" w:rsidRDefault="00A36BA4">
      <w:pPr>
        <w:rPr>
          <w:highlight w:val="yellow"/>
        </w:rPr>
      </w:pPr>
    </w:p>
    <w:p w:rsidR="00A36BA4" w:rsidRDefault="00A36BA4">
      <w:pPr>
        <w:rPr>
          <w:highlight w:val="yellow"/>
        </w:rPr>
      </w:pPr>
    </w:p>
    <w:p w:rsidR="00A36BA4" w:rsidRDefault="00A36BA4">
      <w:pPr>
        <w:rPr>
          <w:highlight w:val="yellow"/>
        </w:rPr>
      </w:pPr>
    </w:p>
    <w:tbl>
      <w:tblPr>
        <w:tblW w:w="10349" w:type="dxa"/>
        <w:tblInd w:w="-318" w:type="dxa"/>
        <w:shd w:val="clear" w:color="auto" w:fill="76923C" w:themeFill="accent3" w:themeFillShade="BF"/>
        <w:tblLook w:val="04A0" w:firstRow="1" w:lastRow="0" w:firstColumn="1" w:lastColumn="0" w:noHBand="0" w:noVBand="1"/>
      </w:tblPr>
      <w:tblGrid>
        <w:gridCol w:w="10349"/>
      </w:tblGrid>
      <w:tr w:rsidR="005E3941" w:rsidRPr="00EC19F3" w:rsidTr="0001229C">
        <w:trPr>
          <w:trHeight w:hRule="exact" w:val="510"/>
        </w:trPr>
        <w:tc>
          <w:tcPr>
            <w:tcW w:w="10349" w:type="dxa"/>
            <w:shd w:val="clear" w:color="auto" w:fill="006A71"/>
          </w:tcPr>
          <w:p w:rsidR="005E3941" w:rsidRPr="00B87F1A" w:rsidRDefault="005E3941" w:rsidP="0001229C">
            <w:pPr>
              <w:rPr>
                <w:rFonts w:ascii="Arial" w:hAnsi="Arial" w:cs="Arial"/>
                <w:b/>
                <w:color w:val="FFFFFF" w:themeColor="background1"/>
                <w:sz w:val="44"/>
              </w:rPr>
            </w:pPr>
            <w:r w:rsidRPr="00B87F1A">
              <w:rPr>
                <w:rFonts w:ascii="Arial" w:hAnsi="Arial" w:cs="Arial"/>
                <w:color w:val="FFFFFF" w:themeColor="background1"/>
                <w:sz w:val="28"/>
                <w:szCs w:val="24"/>
              </w:rPr>
              <w:lastRenderedPageBreak/>
              <w:br w:type="page"/>
            </w:r>
            <w:r w:rsidRPr="00B87F1A">
              <w:rPr>
                <w:rFonts w:ascii="Arial" w:hAnsi="Arial" w:cs="Arial"/>
                <w:b/>
                <w:color w:val="FFFFFF" w:themeColor="background1"/>
                <w:sz w:val="44"/>
              </w:rPr>
              <w:t xml:space="preserve">3. Detailed Reports </w:t>
            </w:r>
          </w:p>
        </w:tc>
      </w:tr>
    </w:tbl>
    <w:p w:rsidR="005E3941" w:rsidRPr="00EC19F3" w:rsidRDefault="005E3941" w:rsidP="00990306">
      <w:pPr>
        <w:spacing w:after="0" w:line="240" w:lineRule="auto"/>
        <w:ind w:left="-426"/>
        <w:rPr>
          <w:rFonts w:ascii="Arial" w:eastAsia="Calibri" w:hAnsi="Arial" w:cs="Arial"/>
          <w:b/>
          <w:bCs/>
          <w:sz w:val="28"/>
          <w:szCs w:val="28"/>
          <w:highlight w:val="yellow"/>
        </w:rPr>
      </w:pPr>
    </w:p>
    <w:p w:rsidR="00B87F1A" w:rsidRPr="00853665" w:rsidRDefault="00B87F1A" w:rsidP="00B87F1A">
      <w:pPr>
        <w:autoSpaceDE w:val="0"/>
        <w:autoSpaceDN w:val="0"/>
        <w:adjustRightInd w:val="0"/>
        <w:spacing w:after="0" w:line="240" w:lineRule="auto"/>
        <w:ind w:left="-426"/>
        <w:jc w:val="both"/>
        <w:rPr>
          <w:rFonts w:ascii="Arial" w:eastAsia="Calibri" w:hAnsi="Arial" w:cs="Arial"/>
          <w:b/>
          <w:bCs/>
          <w:sz w:val="32"/>
          <w:szCs w:val="24"/>
        </w:rPr>
      </w:pPr>
      <w:r w:rsidRPr="00853665">
        <w:rPr>
          <w:rFonts w:ascii="Arial" w:eastAsia="Calibri" w:hAnsi="Arial" w:cs="Arial"/>
          <w:b/>
          <w:bCs/>
          <w:sz w:val="32"/>
          <w:szCs w:val="24"/>
        </w:rPr>
        <w:t xml:space="preserve">3.1 </w:t>
      </w:r>
      <w:r w:rsidR="0085699D">
        <w:rPr>
          <w:rFonts w:ascii="Arial" w:eastAsia="Calibri" w:hAnsi="Arial" w:cs="Arial"/>
          <w:b/>
          <w:bCs/>
          <w:sz w:val="32"/>
          <w:szCs w:val="24"/>
        </w:rPr>
        <w:t>Access</w:t>
      </w:r>
    </w:p>
    <w:p w:rsidR="00B87F1A" w:rsidRPr="001A6B87" w:rsidRDefault="00B87F1A" w:rsidP="00B87F1A">
      <w:pPr>
        <w:autoSpaceDE w:val="0"/>
        <w:autoSpaceDN w:val="0"/>
        <w:adjustRightInd w:val="0"/>
        <w:spacing w:after="0" w:line="240" w:lineRule="auto"/>
        <w:ind w:left="-426"/>
        <w:jc w:val="both"/>
        <w:rPr>
          <w:rFonts w:ascii="Arial" w:eastAsia="Calibri" w:hAnsi="Arial" w:cs="Arial"/>
          <w:b/>
          <w:bCs/>
          <w:sz w:val="24"/>
          <w:szCs w:val="24"/>
        </w:rPr>
      </w:pPr>
    </w:p>
    <w:tbl>
      <w:tblPr>
        <w:tblW w:w="10349" w:type="dxa"/>
        <w:tblInd w:w="-318" w:type="dxa"/>
        <w:tblBorders>
          <w:top w:val="single" w:sz="12" w:space="0" w:color="4F6228" w:themeColor="accent3" w:themeShade="80"/>
          <w:left w:val="single" w:sz="12" w:space="0" w:color="4F6228" w:themeColor="accent3" w:themeShade="80"/>
          <w:bottom w:val="single" w:sz="12" w:space="0" w:color="4F6228" w:themeColor="accent3" w:themeShade="80"/>
          <w:right w:val="single" w:sz="12" w:space="0" w:color="4F6228" w:themeColor="accent3" w:themeShade="80"/>
        </w:tblBorders>
        <w:shd w:val="clear" w:color="auto" w:fill="FFFFFF" w:themeFill="background1"/>
        <w:tblLook w:val="04A0" w:firstRow="1" w:lastRow="0" w:firstColumn="1" w:lastColumn="0" w:noHBand="0" w:noVBand="1"/>
      </w:tblPr>
      <w:tblGrid>
        <w:gridCol w:w="10349"/>
      </w:tblGrid>
      <w:tr w:rsidR="00B87F1A" w:rsidRPr="001769C3" w:rsidTr="005952F8">
        <w:trPr>
          <w:trHeight w:hRule="exact" w:val="340"/>
        </w:trPr>
        <w:tc>
          <w:tcPr>
            <w:tcW w:w="10349" w:type="dxa"/>
            <w:shd w:val="clear" w:color="auto" w:fill="8DC63F"/>
          </w:tcPr>
          <w:p w:rsidR="00B87F1A" w:rsidRPr="001769C3" w:rsidRDefault="00B87F1A" w:rsidP="005952F8">
            <w:pPr>
              <w:ind w:left="-993" w:right="-342"/>
              <w:rPr>
                <w:rFonts w:ascii="Arial" w:hAnsi="Arial" w:cs="Arial"/>
                <w:b/>
                <w:sz w:val="24"/>
                <w:highlight w:val="yellow"/>
              </w:rPr>
            </w:pPr>
            <w:r w:rsidRPr="00853665">
              <w:rPr>
                <w:rFonts w:ascii="Arial" w:hAnsi="Arial" w:cs="Arial"/>
                <w:b/>
                <w:sz w:val="24"/>
              </w:rPr>
              <w:t xml:space="preserve">              </w:t>
            </w:r>
            <w:r w:rsidRPr="00410559">
              <w:rPr>
                <w:rFonts w:ascii="Arial" w:hAnsi="Arial" w:cs="Arial"/>
                <w:b/>
                <w:sz w:val="24"/>
              </w:rPr>
              <w:t>3.1.1 Cancer Waiting Times Standards</w:t>
            </w:r>
          </w:p>
        </w:tc>
      </w:tr>
    </w:tbl>
    <w:p w:rsidR="00B87F1A" w:rsidRDefault="00B87F1A" w:rsidP="00B87F1A">
      <w:pPr>
        <w:spacing w:after="0" w:line="240" w:lineRule="auto"/>
        <w:ind w:left="-426"/>
        <w:jc w:val="both"/>
        <w:rPr>
          <w:rFonts w:ascii="Arial" w:hAnsi="Arial" w:cs="Arial"/>
          <w:sz w:val="24"/>
          <w:highlight w:val="yellow"/>
        </w:rPr>
      </w:pPr>
    </w:p>
    <w:p w:rsidR="00CE798F" w:rsidRPr="001769C3" w:rsidRDefault="00CE798F" w:rsidP="00B87F1A">
      <w:pPr>
        <w:spacing w:after="0" w:line="240" w:lineRule="auto"/>
        <w:ind w:left="-426"/>
        <w:jc w:val="both"/>
        <w:rPr>
          <w:rFonts w:ascii="Arial" w:hAnsi="Arial" w:cs="Arial"/>
          <w:sz w:val="24"/>
          <w:highlight w:val="yellow"/>
        </w:rPr>
      </w:pPr>
      <w:r w:rsidRPr="00CE798F">
        <w:rPr>
          <w:noProof/>
          <w:lang w:eastAsia="en-GB"/>
        </w:rPr>
        <w:drawing>
          <wp:inline distT="0" distB="0" distL="0" distR="0" wp14:anchorId="3B900E0F" wp14:editId="207839C8">
            <wp:extent cx="6563085" cy="3067050"/>
            <wp:effectExtent l="0" t="0" r="952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563621" cy="3067300"/>
                    </a:xfrm>
                    <a:prstGeom prst="rect">
                      <a:avLst/>
                    </a:prstGeom>
                    <a:noFill/>
                    <a:ln>
                      <a:noFill/>
                    </a:ln>
                  </pic:spPr>
                </pic:pic>
              </a:graphicData>
            </a:graphic>
          </wp:inline>
        </w:drawing>
      </w:r>
    </w:p>
    <w:p w:rsidR="00A054BE" w:rsidRPr="001A6B87" w:rsidRDefault="00A054BE" w:rsidP="00613564">
      <w:pPr>
        <w:spacing w:after="0" w:line="240" w:lineRule="auto"/>
        <w:ind w:left="-426"/>
        <w:rPr>
          <w:rFonts w:ascii="Arial" w:hAnsi="Arial" w:cs="Arial"/>
          <w:sz w:val="20"/>
          <w:szCs w:val="20"/>
          <w:highlight w:val="yellow"/>
        </w:rPr>
      </w:pPr>
    </w:p>
    <w:p w:rsidR="001A6B87" w:rsidRPr="001A6B87" w:rsidRDefault="001A6B87" w:rsidP="00613564">
      <w:pPr>
        <w:spacing w:after="0" w:line="240" w:lineRule="auto"/>
        <w:ind w:left="-426"/>
        <w:rPr>
          <w:rFonts w:ascii="Arial" w:hAnsi="Arial" w:cs="Arial"/>
          <w:sz w:val="20"/>
          <w:szCs w:val="20"/>
          <w:highlight w:val="yellow"/>
        </w:rPr>
      </w:pPr>
    </w:p>
    <w:p w:rsidR="009B601A" w:rsidRPr="001C3A18" w:rsidRDefault="009B601A" w:rsidP="009B601A">
      <w:pPr>
        <w:spacing w:after="0" w:line="240" w:lineRule="auto"/>
        <w:ind w:left="-426"/>
        <w:jc w:val="both"/>
        <w:rPr>
          <w:rFonts w:ascii="Arial" w:hAnsi="Arial" w:cs="Arial"/>
          <w:b/>
          <w:sz w:val="24"/>
          <w:szCs w:val="24"/>
        </w:rPr>
      </w:pPr>
      <w:r w:rsidRPr="001C3A18">
        <w:rPr>
          <w:rFonts w:ascii="Arial" w:hAnsi="Arial" w:cs="Arial"/>
          <w:b/>
          <w:sz w:val="24"/>
          <w:szCs w:val="24"/>
        </w:rPr>
        <w:t>2 Week Wait</w:t>
      </w:r>
    </w:p>
    <w:p w:rsidR="009B601A" w:rsidRPr="001A6B87" w:rsidRDefault="009B601A" w:rsidP="009B601A">
      <w:pPr>
        <w:spacing w:after="0" w:line="240" w:lineRule="auto"/>
        <w:ind w:left="-426"/>
        <w:jc w:val="both"/>
        <w:rPr>
          <w:rFonts w:ascii="Arial" w:hAnsi="Arial" w:cs="Arial"/>
          <w:b/>
          <w:sz w:val="12"/>
          <w:szCs w:val="12"/>
        </w:rPr>
      </w:pPr>
    </w:p>
    <w:p w:rsidR="009B601A" w:rsidRPr="001C3A18" w:rsidRDefault="009B601A" w:rsidP="009B601A">
      <w:pPr>
        <w:spacing w:after="0" w:line="240" w:lineRule="auto"/>
        <w:ind w:left="-426"/>
        <w:contextualSpacing/>
        <w:jc w:val="both"/>
        <w:rPr>
          <w:rFonts w:ascii="Arial" w:hAnsi="Arial" w:cs="Arial"/>
          <w:bCs/>
          <w:sz w:val="24"/>
          <w:szCs w:val="24"/>
        </w:rPr>
      </w:pPr>
      <w:r w:rsidRPr="001C3A18">
        <w:rPr>
          <w:rFonts w:ascii="Arial" w:hAnsi="Arial" w:cs="Arial"/>
          <w:bCs/>
          <w:sz w:val="24"/>
          <w:szCs w:val="24"/>
        </w:rPr>
        <w:t xml:space="preserve">There </w:t>
      </w:r>
      <w:r w:rsidR="00124391" w:rsidRPr="001C3A18">
        <w:rPr>
          <w:rFonts w:ascii="Arial" w:hAnsi="Arial" w:cs="Arial"/>
          <w:bCs/>
          <w:sz w:val="24"/>
          <w:szCs w:val="24"/>
        </w:rPr>
        <w:t>were no 2 week wait breaches in</w:t>
      </w:r>
      <w:r w:rsidRPr="001C3A18">
        <w:rPr>
          <w:rFonts w:ascii="Arial" w:hAnsi="Arial" w:cs="Arial"/>
          <w:bCs/>
          <w:sz w:val="24"/>
          <w:szCs w:val="24"/>
        </w:rPr>
        <w:t xml:space="preserve"> May. </w:t>
      </w:r>
    </w:p>
    <w:p w:rsidR="009B601A" w:rsidRPr="001A6B87" w:rsidRDefault="009B601A" w:rsidP="009B601A">
      <w:pPr>
        <w:spacing w:after="0" w:line="240" w:lineRule="auto"/>
        <w:ind w:left="-426"/>
        <w:jc w:val="both"/>
        <w:rPr>
          <w:rFonts w:ascii="Arial" w:hAnsi="Arial" w:cs="Arial"/>
          <w:b/>
          <w:sz w:val="12"/>
          <w:szCs w:val="12"/>
        </w:rPr>
      </w:pPr>
    </w:p>
    <w:p w:rsidR="009B601A" w:rsidRPr="001C3A18" w:rsidRDefault="009B601A" w:rsidP="009B601A">
      <w:pPr>
        <w:spacing w:after="0" w:line="240" w:lineRule="auto"/>
        <w:ind w:left="-426"/>
        <w:jc w:val="both"/>
        <w:rPr>
          <w:rFonts w:ascii="Arial" w:hAnsi="Arial" w:cs="Arial"/>
          <w:b/>
          <w:sz w:val="24"/>
          <w:szCs w:val="24"/>
        </w:rPr>
      </w:pPr>
      <w:r w:rsidRPr="001C3A18">
        <w:rPr>
          <w:rFonts w:ascii="Arial" w:hAnsi="Arial" w:cs="Arial"/>
          <w:b/>
          <w:sz w:val="24"/>
          <w:szCs w:val="24"/>
        </w:rPr>
        <w:t>62 Day wait from GP Referral to treatment</w:t>
      </w:r>
    </w:p>
    <w:p w:rsidR="00124391" w:rsidRPr="001A6B87" w:rsidRDefault="00124391" w:rsidP="009B601A">
      <w:pPr>
        <w:spacing w:after="0" w:line="240" w:lineRule="auto"/>
        <w:ind w:left="-426"/>
        <w:jc w:val="both"/>
        <w:rPr>
          <w:rFonts w:ascii="Arial" w:hAnsi="Arial" w:cs="Arial"/>
          <w:b/>
          <w:sz w:val="8"/>
          <w:szCs w:val="8"/>
        </w:rPr>
      </w:pPr>
    </w:p>
    <w:p w:rsidR="009B601A" w:rsidRPr="001C3A18" w:rsidRDefault="009B601A" w:rsidP="009B601A">
      <w:pPr>
        <w:spacing w:after="0" w:line="240" w:lineRule="auto"/>
        <w:ind w:left="-426"/>
        <w:jc w:val="both"/>
        <w:rPr>
          <w:rFonts w:ascii="Arial" w:hAnsi="Arial" w:cs="Arial"/>
          <w:sz w:val="24"/>
          <w:szCs w:val="24"/>
        </w:rPr>
      </w:pPr>
      <w:r w:rsidRPr="001C3A18">
        <w:rPr>
          <w:rFonts w:ascii="Arial" w:hAnsi="Arial" w:cs="Arial"/>
          <w:sz w:val="24"/>
          <w:szCs w:val="24"/>
        </w:rPr>
        <w:t xml:space="preserve">The 85% target is currently is </w:t>
      </w:r>
      <w:r w:rsidR="00124391" w:rsidRPr="001C3A18">
        <w:rPr>
          <w:rFonts w:ascii="Arial" w:hAnsi="Arial" w:cs="Arial"/>
          <w:sz w:val="24"/>
          <w:szCs w:val="24"/>
        </w:rPr>
        <w:t xml:space="preserve">being achieved at 88% for May (subject to </w:t>
      </w:r>
      <w:r w:rsidRPr="001C3A18">
        <w:rPr>
          <w:rFonts w:ascii="Arial" w:hAnsi="Arial" w:cs="Arial"/>
          <w:sz w:val="24"/>
          <w:szCs w:val="24"/>
        </w:rPr>
        <w:t xml:space="preserve">final validation via </w:t>
      </w:r>
      <w:r w:rsidR="00124391" w:rsidRPr="001C3A18">
        <w:rPr>
          <w:rFonts w:ascii="Arial" w:hAnsi="Arial" w:cs="Arial"/>
          <w:sz w:val="24"/>
          <w:szCs w:val="24"/>
        </w:rPr>
        <w:t>the n</w:t>
      </w:r>
      <w:r w:rsidRPr="001C3A18">
        <w:rPr>
          <w:rFonts w:ascii="Arial" w:hAnsi="Arial" w:cs="Arial"/>
          <w:sz w:val="24"/>
          <w:szCs w:val="24"/>
        </w:rPr>
        <w:t xml:space="preserve">ational system </w:t>
      </w:r>
      <w:r w:rsidR="00124391" w:rsidRPr="001C3A18">
        <w:rPr>
          <w:rFonts w:ascii="Arial" w:hAnsi="Arial" w:cs="Arial"/>
          <w:sz w:val="24"/>
          <w:szCs w:val="24"/>
        </w:rPr>
        <w:t xml:space="preserve">on </w:t>
      </w:r>
      <w:r w:rsidRPr="001C3A18">
        <w:rPr>
          <w:rFonts w:ascii="Arial" w:hAnsi="Arial" w:cs="Arial"/>
          <w:sz w:val="24"/>
          <w:szCs w:val="24"/>
        </w:rPr>
        <w:t xml:space="preserve">1 July 20). The breach details are as follows:  </w:t>
      </w:r>
    </w:p>
    <w:p w:rsidR="009B601A" w:rsidRPr="001A6B87" w:rsidRDefault="009B601A" w:rsidP="009B601A">
      <w:pPr>
        <w:spacing w:after="0" w:line="240" w:lineRule="auto"/>
        <w:ind w:left="-426"/>
        <w:jc w:val="both"/>
        <w:rPr>
          <w:rFonts w:ascii="Arial" w:hAnsi="Arial" w:cs="Arial"/>
          <w:b/>
          <w:sz w:val="8"/>
          <w:szCs w:val="8"/>
        </w:rPr>
      </w:pPr>
    </w:p>
    <w:tbl>
      <w:tblPr>
        <w:tblW w:w="10165" w:type="dxa"/>
        <w:tblInd w:w="-31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806"/>
        <w:gridCol w:w="535"/>
        <w:gridCol w:w="668"/>
        <w:gridCol w:w="1068"/>
        <w:gridCol w:w="1468"/>
        <w:gridCol w:w="1213"/>
        <w:gridCol w:w="3339"/>
        <w:gridCol w:w="1068"/>
      </w:tblGrid>
      <w:tr w:rsidR="009B601A" w:rsidRPr="001A6B87" w:rsidTr="001A6B87">
        <w:trPr>
          <w:cantSplit/>
          <w:trHeight w:val="807"/>
          <w:tblHeader/>
        </w:trPr>
        <w:tc>
          <w:tcPr>
            <w:tcW w:w="805" w:type="dxa"/>
            <w:shd w:val="clear" w:color="auto" w:fill="auto"/>
            <w:textDirection w:val="btLr"/>
            <w:hideMark/>
          </w:tcPr>
          <w:p w:rsidR="009B601A" w:rsidRPr="001A6B87" w:rsidRDefault="009B601A" w:rsidP="009B601A">
            <w:pPr>
              <w:spacing w:after="0" w:line="240" w:lineRule="auto"/>
              <w:ind w:left="113" w:right="113"/>
              <w:jc w:val="center"/>
              <w:rPr>
                <w:rFonts w:ascii="Arial" w:eastAsia="Times New Roman" w:hAnsi="Arial" w:cs="Arial"/>
                <w:b/>
                <w:bCs/>
                <w:sz w:val="16"/>
                <w:szCs w:val="16"/>
                <w:lang w:eastAsia="en-GB"/>
              </w:rPr>
            </w:pPr>
            <w:r w:rsidRPr="001A6B87">
              <w:rPr>
                <w:rFonts w:ascii="Arial" w:eastAsia="Times New Roman" w:hAnsi="Arial" w:cs="Arial"/>
                <w:b/>
                <w:bCs/>
                <w:sz w:val="16"/>
                <w:szCs w:val="16"/>
                <w:lang w:eastAsia="en-GB"/>
              </w:rPr>
              <w:t>Day into CCC</w:t>
            </w:r>
          </w:p>
        </w:tc>
        <w:tc>
          <w:tcPr>
            <w:tcW w:w="535" w:type="dxa"/>
            <w:shd w:val="clear" w:color="auto" w:fill="auto"/>
            <w:textDirection w:val="btLr"/>
            <w:hideMark/>
          </w:tcPr>
          <w:p w:rsidR="009B601A" w:rsidRPr="001A6B87" w:rsidRDefault="009B601A" w:rsidP="009B601A">
            <w:pPr>
              <w:spacing w:after="0" w:line="240" w:lineRule="auto"/>
              <w:ind w:left="113" w:right="113"/>
              <w:jc w:val="center"/>
              <w:rPr>
                <w:rFonts w:ascii="Arial" w:eastAsia="Times New Roman" w:hAnsi="Arial" w:cs="Arial"/>
                <w:b/>
                <w:bCs/>
                <w:sz w:val="16"/>
                <w:szCs w:val="16"/>
                <w:lang w:eastAsia="en-GB"/>
              </w:rPr>
            </w:pPr>
            <w:r w:rsidRPr="001A6B87">
              <w:rPr>
                <w:rFonts w:ascii="Arial" w:eastAsia="Times New Roman" w:hAnsi="Arial" w:cs="Arial"/>
                <w:b/>
                <w:bCs/>
                <w:sz w:val="16"/>
                <w:szCs w:val="16"/>
                <w:lang w:eastAsia="en-GB"/>
              </w:rPr>
              <w:t>Days @ CCC</w:t>
            </w:r>
          </w:p>
        </w:tc>
        <w:tc>
          <w:tcPr>
            <w:tcW w:w="668" w:type="dxa"/>
            <w:shd w:val="clear" w:color="auto" w:fill="auto"/>
            <w:textDirection w:val="btLr"/>
            <w:hideMark/>
          </w:tcPr>
          <w:p w:rsidR="009B601A" w:rsidRPr="001A6B87" w:rsidRDefault="009B601A" w:rsidP="009B601A">
            <w:pPr>
              <w:spacing w:after="0" w:line="240" w:lineRule="auto"/>
              <w:ind w:left="113" w:right="113"/>
              <w:jc w:val="center"/>
              <w:rPr>
                <w:rFonts w:ascii="Arial" w:eastAsia="Times New Roman" w:hAnsi="Arial" w:cs="Arial"/>
                <w:b/>
                <w:bCs/>
                <w:sz w:val="16"/>
                <w:szCs w:val="16"/>
                <w:lang w:eastAsia="en-GB"/>
              </w:rPr>
            </w:pPr>
            <w:r w:rsidRPr="001A6B87">
              <w:rPr>
                <w:rFonts w:ascii="Arial" w:eastAsia="Times New Roman" w:hAnsi="Arial" w:cs="Arial"/>
                <w:b/>
                <w:bCs/>
                <w:sz w:val="16"/>
                <w:szCs w:val="16"/>
                <w:lang w:eastAsia="en-GB"/>
              </w:rPr>
              <w:t>Treated on Day</w:t>
            </w:r>
          </w:p>
        </w:tc>
        <w:tc>
          <w:tcPr>
            <w:tcW w:w="1069" w:type="dxa"/>
            <w:shd w:val="clear" w:color="auto" w:fill="auto"/>
            <w:textDirection w:val="btLr"/>
            <w:hideMark/>
          </w:tcPr>
          <w:p w:rsidR="009B601A" w:rsidRPr="001A6B87" w:rsidRDefault="009B601A" w:rsidP="009B601A">
            <w:pPr>
              <w:spacing w:after="0" w:line="240" w:lineRule="auto"/>
              <w:ind w:left="113" w:right="113"/>
              <w:jc w:val="center"/>
              <w:rPr>
                <w:rFonts w:ascii="Arial" w:eastAsia="Times New Roman" w:hAnsi="Arial" w:cs="Arial"/>
                <w:b/>
                <w:bCs/>
                <w:color w:val="000000"/>
                <w:sz w:val="16"/>
                <w:szCs w:val="16"/>
                <w:lang w:eastAsia="en-GB"/>
              </w:rPr>
            </w:pPr>
            <w:r w:rsidRPr="001A6B87">
              <w:rPr>
                <w:rFonts w:ascii="Arial" w:eastAsia="Times New Roman" w:hAnsi="Arial" w:cs="Arial"/>
                <w:b/>
                <w:bCs/>
                <w:color w:val="000000"/>
                <w:sz w:val="16"/>
                <w:szCs w:val="16"/>
                <w:lang w:eastAsia="en-GB"/>
              </w:rPr>
              <w:t>Tumour</w:t>
            </w:r>
          </w:p>
        </w:tc>
        <w:tc>
          <w:tcPr>
            <w:tcW w:w="1464" w:type="dxa"/>
            <w:shd w:val="clear" w:color="auto" w:fill="auto"/>
            <w:noWrap/>
            <w:vAlign w:val="center"/>
            <w:hideMark/>
          </w:tcPr>
          <w:p w:rsidR="009B601A" w:rsidRPr="001A6B87" w:rsidRDefault="009B601A" w:rsidP="001C3A18">
            <w:pPr>
              <w:spacing w:after="0" w:line="240" w:lineRule="auto"/>
              <w:jc w:val="center"/>
              <w:rPr>
                <w:rFonts w:ascii="Arial" w:eastAsia="Times New Roman" w:hAnsi="Arial" w:cs="Arial"/>
                <w:b/>
                <w:bCs/>
                <w:sz w:val="16"/>
                <w:szCs w:val="16"/>
                <w:lang w:eastAsia="en-GB"/>
              </w:rPr>
            </w:pPr>
            <w:r w:rsidRPr="001A6B87">
              <w:rPr>
                <w:rFonts w:ascii="Arial" w:eastAsia="Times New Roman" w:hAnsi="Arial" w:cs="Arial"/>
                <w:b/>
                <w:bCs/>
                <w:sz w:val="16"/>
                <w:szCs w:val="16"/>
                <w:lang w:eastAsia="en-GB"/>
              </w:rPr>
              <w:t>Referring Trust</w:t>
            </w:r>
          </w:p>
        </w:tc>
        <w:tc>
          <w:tcPr>
            <w:tcW w:w="1214" w:type="dxa"/>
            <w:shd w:val="clear" w:color="auto" w:fill="auto"/>
            <w:vAlign w:val="center"/>
            <w:hideMark/>
          </w:tcPr>
          <w:p w:rsidR="009B601A" w:rsidRPr="001A6B87" w:rsidRDefault="009B601A" w:rsidP="001C3A18">
            <w:pPr>
              <w:spacing w:after="0" w:line="240" w:lineRule="auto"/>
              <w:jc w:val="center"/>
              <w:rPr>
                <w:rFonts w:ascii="Arial" w:eastAsia="Times New Roman" w:hAnsi="Arial" w:cs="Arial"/>
                <w:b/>
                <w:bCs/>
                <w:color w:val="000000"/>
                <w:sz w:val="16"/>
                <w:szCs w:val="16"/>
                <w:lang w:eastAsia="en-GB"/>
              </w:rPr>
            </w:pPr>
            <w:r w:rsidRPr="001A6B87">
              <w:rPr>
                <w:rFonts w:ascii="Arial" w:eastAsia="Times New Roman" w:hAnsi="Arial" w:cs="Arial"/>
                <w:b/>
                <w:bCs/>
                <w:color w:val="000000"/>
                <w:sz w:val="16"/>
                <w:szCs w:val="16"/>
                <w:lang w:eastAsia="en-GB"/>
              </w:rPr>
              <w:t>Treatment</w:t>
            </w:r>
          </w:p>
        </w:tc>
        <w:tc>
          <w:tcPr>
            <w:tcW w:w="3341" w:type="dxa"/>
            <w:shd w:val="clear" w:color="auto" w:fill="auto"/>
            <w:vAlign w:val="center"/>
            <w:hideMark/>
          </w:tcPr>
          <w:p w:rsidR="009B601A" w:rsidRPr="001A6B87" w:rsidRDefault="009B601A" w:rsidP="001C3A18">
            <w:pPr>
              <w:spacing w:after="0" w:line="240" w:lineRule="auto"/>
              <w:jc w:val="center"/>
              <w:rPr>
                <w:rFonts w:ascii="Arial" w:eastAsia="Times New Roman" w:hAnsi="Arial" w:cs="Arial"/>
                <w:b/>
                <w:bCs/>
                <w:color w:val="000000"/>
                <w:sz w:val="16"/>
                <w:szCs w:val="16"/>
                <w:lang w:eastAsia="en-GB"/>
              </w:rPr>
            </w:pPr>
            <w:r w:rsidRPr="001A6B87">
              <w:rPr>
                <w:rFonts w:ascii="Arial" w:eastAsia="Times New Roman" w:hAnsi="Arial" w:cs="Arial"/>
                <w:b/>
                <w:bCs/>
                <w:color w:val="000000"/>
                <w:sz w:val="16"/>
                <w:szCs w:val="16"/>
                <w:lang w:eastAsia="en-GB"/>
              </w:rPr>
              <w:t>Reason</w:t>
            </w:r>
          </w:p>
        </w:tc>
        <w:tc>
          <w:tcPr>
            <w:tcW w:w="1069" w:type="dxa"/>
            <w:shd w:val="clear" w:color="auto" w:fill="auto"/>
            <w:vAlign w:val="center"/>
            <w:hideMark/>
          </w:tcPr>
          <w:p w:rsidR="009B601A" w:rsidRPr="001A6B87" w:rsidRDefault="009B601A" w:rsidP="001C3A18">
            <w:pPr>
              <w:spacing w:after="0" w:line="240" w:lineRule="auto"/>
              <w:jc w:val="center"/>
              <w:rPr>
                <w:rFonts w:ascii="Arial" w:eastAsia="Times New Roman" w:hAnsi="Arial" w:cs="Arial"/>
                <w:b/>
                <w:bCs/>
                <w:color w:val="000000"/>
                <w:sz w:val="16"/>
                <w:szCs w:val="16"/>
                <w:lang w:eastAsia="en-GB"/>
              </w:rPr>
            </w:pPr>
            <w:r w:rsidRPr="001A6B87">
              <w:rPr>
                <w:rFonts w:ascii="Arial" w:eastAsia="Times New Roman" w:hAnsi="Arial" w:cs="Arial"/>
                <w:b/>
                <w:bCs/>
                <w:color w:val="000000"/>
                <w:sz w:val="16"/>
                <w:szCs w:val="16"/>
                <w:lang w:eastAsia="en-GB"/>
              </w:rPr>
              <w:t>Avoidable Breach</w:t>
            </w:r>
          </w:p>
        </w:tc>
      </w:tr>
      <w:tr w:rsidR="009B601A" w:rsidRPr="001A6B87" w:rsidTr="00DA1D5E">
        <w:trPr>
          <w:trHeight w:val="273"/>
        </w:trPr>
        <w:tc>
          <w:tcPr>
            <w:tcW w:w="10165" w:type="dxa"/>
            <w:gridSpan w:val="8"/>
            <w:shd w:val="clear" w:color="auto" w:fill="8DB3E2" w:themeFill="text2" w:themeFillTint="66"/>
            <w:noWrap/>
            <w:vAlign w:val="center"/>
          </w:tcPr>
          <w:p w:rsidR="009B601A" w:rsidRPr="001A6B87" w:rsidRDefault="009B601A" w:rsidP="00DA1D5E">
            <w:pPr>
              <w:spacing w:after="0" w:line="240" w:lineRule="auto"/>
              <w:rPr>
                <w:rFonts w:ascii="Arial" w:eastAsia="Times New Roman" w:hAnsi="Arial" w:cs="Arial"/>
                <w:b/>
                <w:bCs/>
                <w:sz w:val="20"/>
                <w:szCs w:val="20"/>
                <w:lang w:eastAsia="en-GB"/>
              </w:rPr>
            </w:pPr>
            <w:r w:rsidRPr="001A6B87">
              <w:rPr>
                <w:rFonts w:ascii="Arial" w:eastAsia="Times New Roman" w:hAnsi="Arial" w:cs="Arial"/>
                <w:b/>
                <w:bCs/>
                <w:sz w:val="20"/>
                <w:szCs w:val="20"/>
                <w:lang w:eastAsia="en-GB"/>
              </w:rPr>
              <w:t>Full breach to CCC: Patient received by CCC before day 38 but not treated within 24 days </w:t>
            </w:r>
          </w:p>
        </w:tc>
      </w:tr>
      <w:tr w:rsidR="009B601A" w:rsidRPr="001A6B87" w:rsidTr="001A6B87">
        <w:trPr>
          <w:trHeight w:val="346"/>
        </w:trPr>
        <w:tc>
          <w:tcPr>
            <w:tcW w:w="805" w:type="dxa"/>
            <w:shd w:val="clear" w:color="auto" w:fill="auto"/>
            <w:noWrap/>
          </w:tcPr>
          <w:p w:rsidR="009B601A" w:rsidRPr="001A6B87" w:rsidRDefault="009B601A" w:rsidP="001A6B87">
            <w:pPr>
              <w:spacing w:before="40" w:after="40" w:line="240" w:lineRule="auto"/>
              <w:rPr>
                <w:rFonts w:ascii="Arial" w:eastAsia="Times New Roman" w:hAnsi="Arial" w:cs="Arial"/>
                <w:sz w:val="20"/>
                <w:szCs w:val="20"/>
                <w:lang w:eastAsia="en-GB"/>
              </w:rPr>
            </w:pPr>
            <w:r w:rsidRPr="001A6B87">
              <w:rPr>
                <w:rFonts w:ascii="Arial" w:eastAsia="Times New Roman" w:hAnsi="Arial" w:cs="Arial"/>
                <w:sz w:val="20"/>
                <w:szCs w:val="20"/>
                <w:lang w:eastAsia="en-GB"/>
              </w:rPr>
              <w:t>36</w:t>
            </w:r>
          </w:p>
        </w:tc>
        <w:tc>
          <w:tcPr>
            <w:tcW w:w="535" w:type="dxa"/>
            <w:shd w:val="clear" w:color="auto" w:fill="auto"/>
            <w:noWrap/>
          </w:tcPr>
          <w:p w:rsidR="009B601A" w:rsidRPr="001A6B87" w:rsidRDefault="009B601A" w:rsidP="001A6B87">
            <w:pPr>
              <w:spacing w:before="40" w:after="40" w:line="240" w:lineRule="auto"/>
              <w:rPr>
                <w:rFonts w:ascii="Arial" w:eastAsia="Times New Roman" w:hAnsi="Arial" w:cs="Arial"/>
                <w:sz w:val="20"/>
                <w:szCs w:val="20"/>
                <w:lang w:eastAsia="en-GB"/>
              </w:rPr>
            </w:pPr>
            <w:r w:rsidRPr="001A6B87">
              <w:rPr>
                <w:rFonts w:ascii="Arial" w:eastAsia="Times New Roman" w:hAnsi="Arial" w:cs="Arial"/>
                <w:sz w:val="20"/>
                <w:szCs w:val="20"/>
                <w:lang w:eastAsia="en-GB"/>
              </w:rPr>
              <w:t>5</w:t>
            </w:r>
          </w:p>
        </w:tc>
        <w:tc>
          <w:tcPr>
            <w:tcW w:w="668" w:type="dxa"/>
            <w:shd w:val="clear" w:color="auto" w:fill="auto"/>
            <w:noWrap/>
          </w:tcPr>
          <w:p w:rsidR="009B601A" w:rsidRPr="001A6B87" w:rsidRDefault="009B601A" w:rsidP="001A6B87">
            <w:pPr>
              <w:spacing w:before="40" w:after="40" w:line="240" w:lineRule="auto"/>
              <w:rPr>
                <w:rFonts w:ascii="Arial" w:eastAsia="Times New Roman" w:hAnsi="Arial" w:cs="Arial"/>
                <w:sz w:val="20"/>
                <w:szCs w:val="20"/>
                <w:lang w:eastAsia="en-GB"/>
              </w:rPr>
            </w:pPr>
            <w:r w:rsidRPr="001A6B87">
              <w:rPr>
                <w:rFonts w:ascii="Arial" w:eastAsia="Times New Roman" w:hAnsi="Arial" w:cs="Arial"/>
                <w:sz w:val="20"/>
                <w:szCs w:val="20"/>
                <w:lang w:eastAsia="en-GB"/>
              </w:rPr>
              <w:t>71</w:t>
            </w:r>
          </w:p>
        </w:tc>
        <w:tc>
          <w:tcPr>
            <w:tcW w:w="1069" w:type="dxa"/>
            <w:shd w:val="clear" w:color="auto" w:fill="auto"/>
            <w:noWrap/>
          </w:tcPr>
          <w:p w:rsidR="009B601A" w:rsidRPr="001A6B87" w:rsidRDefault="009B601A" w:rsidP="001A6B87">
            <w:pPr>
              <w:spacing w:before="40" w:after="40" w:line="240" w:lineRule="auto"/>
              <w:rPr>
                <w:rFonts w:ascii="Arial" w:eastAsia="Times New Roman" w:hAnsi="Arial" w:cs="Arial"/>
                <w:sz w:val="20"/>
                <w:szCs w:val="20"/>
                <w:lang w:eastAsia="en-GB"/>
              </w:rPr>
            </w:pPr>
            <w:r w:rsidRPr="001A6B87">
              <w:rPr>
                <w:rFonts w:ascii="Arial" w:eastAsia="Times New Roman" w:hAnsi="Arial" w:cs="Arial"/>
                <w:sz w:val="20"/>
                <w:szCs w:val="20"/>
                <w:lang w:eastAsia="en-GB"/>
              </w:rPr>
              <w:t>H&amp;N</w:t>
            </w:r>
          </w:p>
        </w:tc>
        <w:tc>
          <w:tcPr>
            <w:tcW w:w="1464" w:type="dxa"/>
            <w:shd w:val="clear" w:color="auto" w:fill="auto"/>
          </w:tcPr>
          <w:p w:rsidR="009B601A" w:rsidRPr="001A6B87" w:rsidRDefault="009B601A" w:rsidP="001A6B87">
            <w:pPr>
              <w:spacing w:before="40" w:after="40" w:line="240" w:lineRule="auto"/>
              <w:rPr>
                <w:rFonts w:ascii="Arial" w:eastAsia="Times New Roman" w:hAnsi="Arial" w:cs="Arial"/>
                <w:sz w:val="20"/>
                <w:szCs w:val="20"/>
                <w:lang w:eastAsia="en-GB"/>
              </w:rPr>
            </w:pPr>
            <w:r w:rsidRPr="001A6B87">
              <w:rPr>
                <w:rFonts w:ascii="Arial" w:eastAsia="Times New Roman" w:hAnsi="Arial" w:cs="Arial"/>
                <w:sz w:val="20"/>
                <w:szCs w:val="20"/>
                <w:lang w:eastAsia="en-GB"/>
              </w:rPr>
              <w:t>Aintree</w:t>
            </w:r>
          </w:p>
        </w:tc>
        <w:tc>
          <w:tcPr>
            <w:tcW w:w="1214" w:type="dxa"/>
            <w:shd w:val="clear" w:color="auto" w:fill="auto"/>
          </w:tcPr>
          <w:p w:rsidR="009B601A" w:rsidRPr="001A6B87" w:rsidRDefault="009B601A" w:rsidP="001A6B87">
            <w:pPr>
              <w:spacing w:before="40" w:after="40" w:line="240" w:lineRule="auto"/>
              <w:rPr>
                <w:rFonts w:ascii="Arial" w:eastAsia="Times New Roman" w:hAnsi="Arial" w:cs="Arial"/>
                <w:sz w:val="20"/>
                <w:szCs w:val="20"/>
                <w:lang w:eastAsia="en-GB"/>
              </w:rPr>
            </w:pPr>
            <w:r w:rsidRPr="001A6B87">
              <w:rPr>
                <w:rFonts w:ascii="Arial" w:eastAsia="Times New Roman" w:hAnsi="Arial" w:cs="Arial"/>
                <w:sz w:val="20"/>
                <w:szCs w:val="20"/>
                <w:lang w:eastAsia="en-GB"/>
              </w:rPr>
              <w:t>Rad RT/chemo</w:t>
            </w:r>
          </w:p>
        </w:tc>
        <w:tc>
          <w:tcPr>
            <w:tcW w:w="3341" w:type="dxa"/>
            <w:shd w:val="clear" w:color="auto" w:fill="auto"/>
          </w:tcPr>
          <w:p w:rsidR="009B601A" w:rsidRPr="001A6B87" w:rsidRDefault="00B26435" w:rsidP="001A6B87">
            <w:pPr>
              <w:spacing w:before="40" w:after="40" w:line="240" w:lineRule="auto"/>
              <w:rPr>
                <w:rFonts w:ascii="Arial" w:eastAsia="Times New Roman" w:hAnsi="Arial" w:cs="Arial"/>
                <w:sz w:val="20"/>
                <w:szCs w:val="20"/>
                <w:lang w:eastAsia="en-GB"/>
              </w:rPr>
            </w:pPr>
            <w:r w:rsidRPr="001A6B87">
              <w:rPr>
                <w:rFonts w:ascii="Arial" w:eastAsia="Times New Roman" w:hAnsi="Arial" w:cs="Arial"/>
                <w:sz w:val="20"/>
                <w:szCs w:val="20"/>
                <w:lang w:eastAsia="en-GB"/>
              </w:rPr>
              <w:t>Patient choice of Dental and</w:t>
            </w:r>
            <w:r w:rsidR="009B601A" w:rsidRPr="001A6B87">
              <w:rPr>
                <w:rFonts w:ascii="Arial" w:eastAsia="Times New Roman" w:hAnsi="Arial" w:cs="Arial"/>
                <w:sz w:val="20"/>
                <w:szCs w:val="20"/>
                <w:lang w:eastAsia="en-GB"/>
              </w:rPr>
              <w:t xml:space="preserve"> treatment appointments </w:t>
            </w:r>
          </w:p>
        </w:tc>
        <w:tc>
          <w:tcPr>
            <w:tcW w:w="1069" w:type="dxa"/>
            <w:shd w:val="clear" w:color="auto" w:fill="auto"/>
            <w:noWrap/>
          </w:tcPr>
          <w:p w:rsidR="009B601A" w:rsidRPr="001A6B87" w:rsidRDefault="009B601A" w:rsidP="001A6B87">
            <w:pPr>
              <w:spacing w:before="40" w:after="40" w:line="240" w:lineRule="auto"/>
              <w:rPr>
                <w:rFonts w:ascii="Arial" w:eastAsia="Times New Roman" w:hAnsi="Arial" w:cs="Arial"/>
                <w:sz w:val="20"/>
                <w:szCs w:val="20"/>
                <w:lang w:eastAsia="en-GB"/>
              </w:rPr>
            </w:pPr>
            <w:r w:rsidRPr="001A6B87">
              <w:rPr>
                <w:rFonts w:ascii="Arial" w:eastAsia="Times New Roman" w:hAnsi="Arial" w:cs="Arial"/>
                <w:sz w:val="20"/>
                <w:szCs w:val="20"/>
                <w:lang w:eastAsia="en-GB"/>
              </w:rPr>
              <w:t>No</w:t>
            </w:r>
          </w:p>
        </w:tc>
      </w:tr>
      <w:tr w:rsidR="009B601A" w:rsidRPr="001A6B87" w:rsidTr="001A6B87">
        <w:trPr>
          <w:trHeight w:val="295"/>
        </w:trPr>
        <w:tc>
          <w:tcPr>
            <w:tcW w:w="10165" w:type="dxa"/>
            <w:gridSpan w:val="8"/>
            <w:shd w:val="clear" w:color="000000" w:fill="95B3D7"/>
            <w:noWrap/>
            <w:hideMark/>
          </w:tcPr>
          <w:p w:rsidR="009B601A" w:rsidRPr="001A6B87" w:rsidRDefault="009B601A" w:rsidP="001A6B87">
            <w:pPr>
              <w:spacing w:after="0" w:line="240" w:lineRule="auto"/>
              <w:rPr>
                <w:rFonts w:ascii="Arial" w:eastAsia="Times New Roman" w:hAnsi="Arial" w:cs="Arial"/>
                <w:b/>
                <w:bCs/>
                <w:sz w:val="20"/>
                <w:szCs w:val="20"/>
                <w:lang w:eastAsia="en-GB"/>
              </w:rPr>
            </w:pPr>
            <w:r w:rsidRPr="001A6B87">
              <w:rPr>
                <w:rFonts w:ascii="Arial" w:eastAsia="Times New Roman" w:hAnsi="Arial" w:cs="Arial"/>
                <w:b/>
                <w:bCs/>
                <w:sz w:val="20"/>
                <w:szCs w:val="20"/>
                <w:lang w:eastAsia="en-GB"/>
              </w:rPr>
              <w:t>Half breach to CCC: Patient received by CCC after day 38 and not treated within 24 days  </w:t>
            </w:r>
          </w:p>
        </w:tc>
      </w:tr>
      <w:tr w:rsidR="009B601A" w:rsidRPr="001A6B87" w:rsidTr="001A6B87">
        <w:trPr>
          <w:trHeight w:val="393"/>
        </w:trPr>
        <w:tc>
          <w:tcPr>
            <w:tcW w:w="805" w:type="dxa"/>
            <w:shd w:val="clear" w:color="auto" w:fill="auto"/>
            <w:noWrap/>
          </w:tcPr>
          <w:p w:rsidR="009B601A" w:rsidRPr="001A6B87" w:rsidRDefault="009B601A" w:rsidP="001A6B87">
            <w:pPr>
              <w:spacing w:before="40" w:after="40" w:line="240" w:lineRule="auto"/>
              <w:rPr>
                <w:rFonts w:ascii="Arial" w:eastAsia="Times New Roman" w:hAnsi="Arial" w:cs="Arial"/>
                <w:sz w:val="20"/>
                <w:szCs w:val="20"/>
                <w:lang w:eastAsia="en-GB"/>
              </w:rPr>
            </w:pPr>
            <w:r w:rsidRPr="001A6B87">
              <w:rPr>
                <w:rFonts w:ascii="Arial" w:eastAsia="Times New Roman" w:hAnsi="Arial" w:cs="Arial"/>
                <w:sz w:val="20"/>
                <w:szCs w:val="20"/>
                <w:lang w:eastAsia="en-GB"/>
              </w:rPr>
              <w:t>41</w:t>
            </w:r>
          </w:p>
        </w:tc>
        <w:tc>
          <w:tcPr>
            <w:tcW w:w="535" w:type="dxa"/>
            <w:shd w:val="clear" w:color="auto" w:fill="auto"/>
            <w:noWrap/>
          </w:tcPr>
          <w:p w:rsidR="009B601A" w:rsidRPr="001A6B87" w:rsidRDefault="009B601A" w:rsidP="001A6B87">
            <w:pPr>
              <w:spacing w:before="40" w:after="40" w:line="240" w:lineRule="auto"/>
              <w:rPr>
                <w:rFonts w:ascii="Arial" w:eastAsia="Times New Roman" w:hAnsi="Arial" w:cs="Arial"/>
                <w:sz w:val="20"/>
                <w:szCs w:val="20"/>
                <w:lang w:eastAsia="en-GB"/>
              </w:rPr>
            </w:pPr>
            <w:r w:rsidRPr="001A6B87">
              <w:rPr>
                <w:rFonts w:ascii="Arial" w:eastAsia="Times New Roman" w:hAnsi="Arial" w:cs="Arial"/>
                <w:sz w:val="20"/>
                <w:szCs w:val="20"/>
                <w:lang w:eastAsia="en-GB"/>
              </w:rPr>
              <w:t>34</w:t>
            </w:r>
          </w:p>
        </w:tc>
        <w:tc>
          <w:tcPr>
            <w:tcW w:w="668" w:type="dxa"/>
            <w:shd w:val="clear" w:color="auto" w:fill="auto"/>
            <w:noWrap/>
          </w:tcPr>
          <w:p w:rsidR="009B601A" w:rsidRPr="001A6B87" w:rsidRDefault="009B601A" w:rsidP="001A6B87">
            <w:pPr>
              <w:spacing w:before="40" w:after="40" w:line="240" w:lineRule="auto"/>
              <w:rPr>
                <w:rFonts w:ascii="Arial" w:eastAsia="Times New Roman" w:hAnsi="Arial" w:cs="Arial"/>
                <w:sz w:val="20"/>
                <w:szCs w:val="20"/>
                <w:lang w:eastAsia="en-GB"/>
              </w:rPr>
            </w:pPr>
            <w:r w:rsidRPr="001A6B87">
              <w:rPr>
                <w:rFonts w:ascii="Arial" w:eastAsia="Times New Roman" w:hAnsi="Arial" w:cs="Arial"/>
                <w:sz w:val="20"/>
                <w:szCs w:val="20"/>
                <w:lang w:eastAsia="en-GB"/>
              </w:rPr>
              <w:t>74</w:t>
            </w:r>
          </w:p>
        </w:tc>
        <w:tc>
          <w:tcPr>
            <w:tcW w:w="1064" w:type="dxa"/>
            <w:shd w:val="clear" w:color="auto" w:fill="auto"/>
            <w:noWrap/>
          </w:tcPr>
          <w:p w:rsidR="009B601A" w:rsidRPr="001A6B87" w:rsidRDefault="009B601A" w:rsidP="001A6B87">
            <w:pPr>
              <w:spacing w:before="40" w:after="40" w:line="240" w:lineRule="auto"/>
              <w:rPr>
                <w:rFonts w:ascii="Arial" w:eastAsia="Times New Roman" w:hAnsi="Arial" w:cs="Arial"/>
                <w:sz w:val="20"/>
                <w:szCs w:val="20"/>
                <w:lang w:eastAsia="en-GB"/>
              </w:rPr>
            </w:pPr>
            <w:r w:rsidRPr="001A6B87">
              <w:rPr>
                <w:rFonts w:ascii="Arial" w:eastAsia="Times New Roman" w:hAnsi="Arial" w:cs="Arial"/>
                <w:sz w:val="20"/>
                <w:szCs w:val="20"/>
                <w:lang w:eastAsia="en-GB"/>
              </w:rPr>
              <w:t>H&amp;N</w:t>
            </w:r>
          </w:p>
        </w:tc>
        <w:tc>
          <w:tcPr>
            <w:tcW w:w="1469" w:type="dxa"/>
            <w:shd w:val="clear" w:color="auto" w:fill="auto"/>
            <w:noWrap/>
          </w:tcPr>
          <w:p w:rsidR="009B601A" w:rsidRPr="001A6B87" w:rsidRDefault="009B601A" w:rsidP="001A6B87">
            <w:pPr>
              <w:spacing w:before="40" w:after="40" w:line="240" w:lineRule="auto"/>
              <w:rPr>
                <w:rFonts w:ascii="Arial" w:eastAsia="Times New Roman" w:hAnsi="Arial" w:cs="Arial"/>
                <w:sz w:val="20"/>
                <w:szCs w:val="20"/>
                <w:lang w:eastAsia="en-GB"/>
              </w:rPr>
            </w:pPr>
            <w:r w:rsidRPr="001A6B87">
              <w:rPr>
                <w:rFonts w:ascii="Arial" w:eastAsia="Times New Roman" w:hAnsi="Arial" w:cs="Arial"/>
                <w:sz w:val="20"/>
                <w:szCs w:val="20"/>
                <w:lang w:eastAsia="en-GB"/>
              </w:rPr>
              <w:t>RLH</w:t>
            </w:r>
          </w:p>
        </w:tc>
        <w:tc>
          <w:tcPr>
            <w:tcW w:w="1214" w:type="dxa"/>
            <w:shd w:val="clear" w:color="auto" w:fill="auto"/>
          </w:tcPr>
          <w:p w:rsidR="009B601A" w:rsidRPr="001A6B87" w:rsidRDefault="009B601A" w:rsidP="001A6B87">
            <w:pPr>
              <w:spacing w:before="40" w:after="40" w:line="240" w:lineRule="auto"/>
              <w:rPr>
                <w:rFonts w:ascii="Arial" w:eastAsia="Times New Roman" w:hAnsi="Arial" w:cs="Arial"/>
                <w:sz w:val="20"/>
                <w:szCs w:val="20"/>
                <w:lang w:eastAsia="en-GB"/>
              </w:rPr>
            </w:pPr>
            <w:r w:rsidRPr="001A6B87">
              <w:rPr>
                <w:rFonts w:ascii="Arial" w:eastAsia="Times New Roman" w:hAnsi="Arial" w:cs="Arial"/>
                <w:sz w:val="20"/>
                <w:szCs w:val="20"/>
                <w:lang w:eastAsia="en-GB"/>
              </w:rPr>
              <w:t>Rad RT/chemo</w:t>
            </w:r>
          </w:p>
        </w:tc>
        <w:tc>
          <w:tcPr>
            <w:tcW w:w="3341" w:type="dxa"/>
            <w:shd w:val="clear" w:color="auto" w:fill="auto"/>
          </w:tcPr>
          <w:p w:rsidR="009B601A" w:rsidRPr="001A6B87" w:rsidRDefault="009B601A" w:rsidP="001A6B87">
            <w:pPr>
              <w:spacing w:before="40" w:after="40" w:line="240" w:lineRule="auto"/>
              <w:rPr>
                <w:rFonts w:ascii="Arial" w:hAnsi="Arial" w:cs="Arial"/>
                <w:sz w:val="20"/>
                <w:szCs w:val="20"/>
              </w:rPr>
            </w:pPr>
            <w:r w:rsidRPr="001A6B87">
              <w:rPr>
                <w:rFonts w:ascii="Arial" w:hAnsi="Arial" w:cs="Arial"/>
                <w:sz w:val="20"/>
                <w:szCs w:val="20"/>
              </w:rPr>
              <w:t>Patient choice of dental and treatment appointments due to work commitments</w:t>
            </w:r>
          </w:p>
        </w:tc>
        <w:tc>
          <w:tcPr>
            <w:tcW w:w="1069" w:type="dxa"/>
            <w:shd w:val="clear" w:color="auto" w:fill="auto"/>
            <w:noWrap/>
          </w:tcPr>
          <w:p w:rsidR="009B601A" w:rsidRPr="001A6B87" w:rsidRDefault="009B601A" w:rsidP="001A6B87">
            <w:pPr>
              <w:spacing w:before="40" w:after="40" w:line="240" w:lineRule="auto"/>
              <w:rPr>
                <w:rFonts w:ascii="Arial" w:eastAsia="Times New Roman" w:hAnsi="Arial" w:cs="Arial"/>
                <w:sz w:val="20"/>
                <w:szCs w:val="20"/>
                <w:lang w:eastAsia="en-GB"/>
              </w:rPr>
            </w:pPr>
            <w:r w:rsidRPr="001A6B87">
              <w:rPr>
                <w:rFonts w:ascii="Arial" w:eastAsia="Times New Roman" w:hAnsi="Arial" w:cs="Arial"/>
                <w:sz w:val="20"/>
                <w:szCs w:val="20"/>
                <w:lang w:eastAsia="en-GB"/>
              </w:rPr>
              <w:t>No</w:t>
            </w:r>
          </w:p>
        </w:tc>
      </w:tr>
      <w:tr w:rsidR="009B601A" w:rsidRPr="001A6B87" w:rsidTr="001A6B87">
        <w:trPr>
          <w:trHeight w:val="554"/>
        </w:trPr>
        <w:tc>
          <w:tcPr>
            <w:tcW w:w="805" w:type="dxa"/>
            <w:shd w:val="clear" w:color="auto" w:fill="auto"/>
            <w:noWrap/>
          </w:tcPr>
          <w:p w:rsidR="009B601A" w:rsidRPr="001A6B87" w:rsidRDefault="009B601A" w:rsidP="001A6B87">
            <w:pPr>
              <w:spacing w:before="40" w:after="40" w:line="240" w:lineRule="auto"/>
              <w:rPr>
                <w:rFonts w:ascii="Arial" w:eastAsia="Times New Roman" w:hAnsi="Arial" w:cs="Arial"/>
                <w:sz w:val="20"/>
                <w:szCs w:val="20"/>
                <w:lang w:eastAsia="en-GB"/>
              </w:rPr>
            </w:pPr>
            <w:r w:rsidRPr="001A6B87">
              <w:rPr>
                <w:rFonts w:ascii="Arial" w:eastAsia="Times New Roman" w:hAnsi="Arial" w:cs="Arial"/>
                <w:sz w:val="20"/>
                <w:szCs w:val="20"/>
                <w:lang w:eastAsia="en-GB"/>
              </w:rPr>
              <w:t>71</w:t>
            </w:r>
          </w:p>
        </w:tc>
        <w:tc>
          <w:tcPr>
            <w:tcW w:w="535" w:type="dxa"/>
            <w:shd w:val="clear" w:color="auto" w:fill="auto"/>
            <w:noWrap/>
          </w:tcPr>
          <w:p w:rsidR="009B601A" w:rsidRPr="001A6B87" w:rsidRDefault="009B601A" w:rsidP="001A6B87">
            <w:pPr>
              <w:spacing w:before="40" w:after="40" w:line="240" w:lineRule="auto"/>
              <w:rPr>
                <w:rFonts w:ascii="Arial" w:eastAsia="Times New Roman" w:hAnsi="Arial" w:cs="Arial"/>
                <w:sz w:val="20"/>
                <w:szCs w:val="20"/>
                <w:lang w:eastAsia="en-GB"/>
              </w:rPr>
            </w:pPr>
            <w:r w:rsidRPr="001A6B87">
              <w:rPr>
                <w:rFonts w:ascii="Arial" w:eastAsia="Times New Roman" w:hAnsi="Arial" w:cs="Arial"/>
                <w:sz w:val="20"/>
                <w:szCs w:val="20"/>
                <w:lang w:eastAsia="en-GB"/>
              </w:rPr>
              <w:t>33</w:t>
            </w:r>
          </w:p>
        </w:tc>
        <w:tc>
          <w:tcPr>
            <w:tcW w:w="668" w:type="dxa"/>
            <w:shd w:val="clear" w:color="auto" w:fill="auto"/>
            <w:noWrap/>
          </w:tcPr>
          <w:p w:rsidR="009B601A" w:rsidRPr="001A6B87" w:rsidRDefault="009B601A" w:rsidP="001A6B87">
            <w:pPr>
              <w:spacing w:before="40" w:after="40" w:line="240" w:lineRule="auto"/>
              <w:rPr>
                <w:rFonts w:ascii="Arial" w:eastAsia="Times New Roman" w:hAnsi="Arial" w:cs="Arial"/>
                <w:sz w:val="20"/>
                <w:szCs w:val="20"/>
                <w:lang w:eastAsia="en-GB"/>
              </w:rPr>
            </w:pPr>
            <w:r w:rsidRPr="001A6B87">
              <w:rPr>
                <w:rFonts w:ascii="Arial" w:eastAsia="Times New Roman" w:hAnsi="Arial" w:cs="Arial"/>
                <w:sz w:val="20"/>
                <w:szCs w:val="20"/>
                <w:lang w:eastAsia="en-GB"/>
              </w:rPr>
              <w:t>104</w:t>
            </w:r>
          </w:p>
        </w:tc>
        <w:tc>
          <w:tcPr>
            <w:tcW w:w="1064" w:type="dxa"/>
            <w:shd w:val="clear" w:color="auto" w:fill="auto"/>
            <w:noWrap/>
          </w:tcPr>
          <w:p w:rsidR="009B601A" w:rsidRPr="001A6B87" w:rsidRDefault="009B601A" w:rsidP="001A6B87">
            <w:pPr>
              <w:spacing w:before="40" w:after="40" w:line="240" w:lineRule="auto"/>
              <w:rPr>
                <w:rFonts w:ascii="Arial" w:eastAsia="Times New Roman" w:hAnsi="Arial" w:cs="Arial"/>
                <w:sz w:val="20"/>
                <w:szCs w:val="20"/>
                <w:lang w:eastAsia="en-GB"/>
              </w:rPr>
            </w:pPr>
            <w:r w:rsidRPr="001A6B87">
              <w:rPr>
                <w:rFonts w:ascii="Arial" w:eastAsia="Times New Roman" w:hAnsi="Arial" w:cs="Arial"/>
                <w:sz w:val="20"/>
                <w:szCs w:val="20"/>
                <w:lang w:eastAsia="en-GB"/>
              </w:rPr>
              <w:t>H&amp;N/</w:t>
            </w:r>
            <w:r w:rsidR="00B26435" w:rsidRPr="001A6B87">
              <w:rPr>
                <w:rFonts w:ascii="Arial" w:eastAsia="Times New Roman" w:hAnsi="Arial" w:cs="Arial"/>
                <w:sz w:val="20"/>
                <w:szCs w:val="20"/>
                <w:lang w:eastAsia="en-GB"/>
              </w:rPr>
              <w:t xml:space="preserve"> </w:t>
            </w:r>
            <w:r w:rsidRPr="001A6B87">
              <w:rPr>
                <w:rFonts w:ascii="Arial" w:eastAsia="Times New Roman" w:hAnsi="Arial" w:cs="Arial"/>
                <w:sz w:val="20"/>
                <w:szCs w:val="20"/>
                <w:lang w:eastAsia="en-GB"/>
              </w:rPr>
              <w:t>Haem</w:t>
            </w:r>
          </w:p>
        </w:tc>
        <w:tc>
          <w:tcPr>
            <w:tcW w:w="1469" w:type="dxa"/>
            <w:shd w:val="clear" w:color="auto" w:fill="auto"/>
            <w:noWrap/>
          </w:tcPr>
          <w:p w:rsidR="009B601A" w:rsidRPr="001A6B87" w:rsidRDefault="009B601A" w:rsidP="001A6B87">
            <w:pPr>
              <w:spacing w:before="40" w:after="40" w:line="240" w:lineRule="auto"/>
              <w:rPr>
                <w:rFonts w:ascii="Arial" w:eastAsia="Times New Roman" w:hAnsi="Arial" w:cs="Arial"/>
                <w:sz w:val="20"/>
                <w:szCs w:val="20"/>
                <w:lang w:eastAsia="en-GB"/>
              </w:rPr>
            </w:pPr>
            <w:r w:rsidRPr="001A6B87">
              <w:rPr>
                <w:rFonts w:ascii="Arial" w:eastAsia="Times New Roman" w:hAnsi="Arial" w:cs="Arial"/>
                <w:sz w:val="20"/>
                <w:szCs w:val="20"/>
                <w:lang w:eastAsia="en-GB"/>
              </w:rPr>
              <w:t>RLH</w:t>
            </w:r>
          </w:p>
        </w:tc>
        <w:tc>
          <w:tcPr>
            <w:tcW w:w="1214" w:type="dxa"/>
            <w:shd w:val="clear" w:color="auto" w:fill="auto"/>
          </w:tcPr>
          <w:p w:rsidR="009B601A" w:rsidRPr="001A6B87" w:rsidRDefault="009B601A" w:rsidP="001A6B87">
            <w:pPr>
              <w:spacing w:before="40" w:after="40" w:line="240" w:lineRule="auto"/>
              <w:rPr>
                <w:rFonts w:ascii="Arial" w:eastAsia="Times New Roman" w:hAnsi="Arial" w:cs="Arial"/>
                <w:sz w:val="20"/>
                <w:szCs w:val="20"/>
                <w:lang w:eastAsia="en-GB"/>
              </w:rPr>
            </w:pPr>
            <w:r w:rsidRPr="001A6B87">
              <w:rPr>
                <w:rFonts w:ascii="Arial" w:eastAsia="Times New Roman" w:hAnsi="Arial" w:cs="Arial"/>
                <w:sz w:val="20"/>
                <w:szCs w:val="20"/>
                <w:lang w:eastAsia="en-GB"/>
              </w:rPr>
              <w:t xml:space="preserve">Chemo </w:t>
            </w:r>
          </w:p>
        </w:tc>
        <w:tc>
          <w:tcPr>
            <w:tcW w:w="3341" w:type="dxa"/>
            <w:shd w:val="clear" w:color="auto" w:fill="auto"/>
          </w:tcPr>
          <w:p w:rsidR="009B601A" w:rsidRPr="001A6B87" w:rsidRDefault="009B601A" w:rsidP="001A6B87">
            <w:pPr>
              <w:spacing w:before="40" w:after="40" w:line="240" w:lineRule="auto"/>
              <w:rPr>
                <w:rFonts w:ascii="Arial" w:hAnsi="Arial" w:cs="Arial"/>
                <w:sz w:val="20"/>
                <w:szCs w:val="20"/>
              </w:rPr>
            </w:pPr>
            <w:r w:rsidRPr="001A6B87">
              <w:rPr>
                <w:rFonts w:ascii="Arial" w:hAnsi="Arial" w:cs="Arial"/>
                <w:sz w:val="20"/>
                <w:szCs w:val="20"/>
              </w:rPr>
              <w:t>Patient required further tests prior to treatment</w:t>
            </w:r>
            <w:r w:rsidR="00550FB8" w:rsidRPr="001A6B87">
              <w:rPr>
                <w:rFonts w:ascii="Arial" w:hAnsi="Arial" w:cs="Arial"/>
                <w:sz w:val="20"/>
                <w:szCs w:val="20"/>
              </w:rPr>
              <w:t>; the tests were not booked in time to meet the target.</w:t>
            </w:r>
          </w:p>
        </w:tc>
        <w:tc>
          <w:tcPr>
            <w:tcW w:w="1069" w:type="dxa"/>
            <w:shd w:val="clear" w:color="auto" w:fill="auto"/>
            <w:noWrap/>
          </w:tcPr>
          <w:p w:rsidR="009B601A" w:rsidRPr="001A6B87" w:rsidRDefault="009B601A" w:rsidP="001A6B87">
            <w:pPr>
              <w:spacing w:before="40" w:after="40" w:line="240" w:lineRule="auto"/>
              <w:rPr>
                <w:rFonts w:ascii="Arial" w:eastAsia="Times New Roman" w:hAnsi="Arial" w:cs="Arial"/>
                <w:sz w:val="20"/>
                <w:szCs w:val="20"/>
                <w:lang w:eastAsia="en-GB"/>
              </w:rPr>
            </w:pPr>
            <w:r w:rsidRPr="001A6B87">
              <w:rPr>
                <w:rFonts w:ascii="Arial" w:eastAsia="Times New Roman" w:hAnsi="Arial" w:cs="Arial"/>
                <w:sz w:val="20"/>
                <w:szCs w:val="20"/>
                <w:lang w:eastAsia="en-GB"/>
              </w:rPr>
              <w:t>Yes</w:t>
            </w:r>
          </w:p>
        </w:tc>
      </w:tr>
      <w:tr w:rsidR="009B601A" w:rsidRPr="001A6B87" w:rsidTr="001A6B87">
        <w:trPr>
          <w:trHeight w:val="420"/>
        </w:trPr>
        <w:tc>
          <w:tcPr>
            <w:tcW w:w="805" w:type="dxa"/>
            <w:shd w:val="clear" w:color="auto" w:fill="auto"/>
            <w:noWrap/>
          </w:tcPr>
          <w:p w:rsidR="009B601A" w:rsidRPr="001A6B87" w:rsidRDefault="009B601A" w:rsidP="001A6B87">
            <w:pPr>
              <w:spacing w:before="40" w:after="40" w:line="240" w:lineRule="auto"/>
              <w:rPr>
                <w:rFonts w:ascii="Arial" w:eastAsia="Times New Roman" w:hAnsi="Arial" w:cs="Arial"/>
                <w:sz w:val="20"/>
                <w:szCs w:val="20"/>
                <w:lang w:eastAsia="en-GB"/>
              </w:rPr>
            </w:pPr>
            <w:r w:rsidRPr="001A6B87">
              <w:rPr>
                <w:rFonts w:ascii="Arial" w:eastAsia="Times New Roman" w:hAnsi="Arial" w:cs="Arial"/>
                <w:sz w:val="20"/>
                <w:szCs w:val="20"/>
                <w:lang w:eastAsia="en-GB"/>
              </w:rPr>
              <w:t>46</w:t>
            </w:r>
          </w:p>
        </w:tc>
        <w:tc>
          <w:tcPr>
            <w:tcW w:w="535" w:type="dxa"/>
            <w:shd w:val="clear" w:color="auto" w:fill="auto"/>
            <w:noWrap/>
          </w:tcPr>
          <w:p w:rsidR="009B601A" w:rsidRPr="001A6B87" w:rsidRDefault="009B601A" w:rsidP="001A6B87">
            <w:pPr>
              <w:spacing w:before="40" w:after="40" w:line="240" w:lineRule="auto"/>
              <w:rPr>
                <w:rFonts w:ascii="Arial" w:eastAsia="Times New Roman" w:hAnsi="Arial" w:cs="Arial"/>
                <w:sz w:val="20"/>
                <w:szCs w:val="20"/>
                <w:lang w:eastAsia="en-GB"/>
              </w:rPr>
            </w:pPr>
            <w:r w:rsidRPr="001A6B87">
              <w:rPr>
                <w:rFonts w:ascii="Arial" w:eastAsia="Times New Roman" w:hAnsi="Arial" w:cs="Arial"/>
                <w:sz w:val="20"/>
                <w:szCs w:val="20"/>
                <w:lang w:eastAsia="en-GB"/>
              </w:rPr>
              <w:t>45</w:t>
            </w:r>
          </w:p>
        </w:tc>
        <w:tc>
          <w:tcPr>
            <w:tcW w:w="668" w:type="dxa"/>
            <w:shd w:val="clear" w:color="auto" w:fill="auto"/>
            <w:noWrap/>
          </w:tcPr>
          <w:p w:rsidR="009B601A" w:rsidRPr="001A6B87" w:rsidRDefault="009B601A" w:rsidP="001A6B87">
            <w:pPr>
              <w:spacing w:before="40" w:after="40" w:line="240" w:lineRule="auto"/>
              <w:rPr>
                <w:rFonts w:ascii="Arial" w:eastAsia="Times New Roman" w:hAnsi="Arial" w:cs="Arial"/>
                <w:sz w:val="20"/>
                <w:szCs w:val="20"/>
                <w:lang w:eastAsia="en-GB"/>
              </w:rPr>
            </w:pPr>
            <w:r w:rsidRPr="001A6B87">
              <w:rPr>
                <w:rFonts w:ascii="Arial" w:eastAsia="Times New Roman" w:hAnsi="Arial" w:cs="Arial"/>
                <w:sz w:val="20"/>
                <w:szCs w:val="20"/>
                <w:lang w:eastAsia="en-GB"/>
              </w:rPr>
              <w:t>91</w:t>
            </w:r>
          </w:p>
        </w:tc>
        <w:tc>
          <w:tcPr>
            <w:tcW w:w="1064" w:type="dxa"/>
            <w:shd w:val="clear" w:color="auto" w:fill="auto"/>
            <w:noWrap/>
          </w:tcPr>
          <w:p w:rsidR="009B601A" w:rsidRPr="001A6B87" w:rsidRDefault="009B601A" w:rsidP="001A6B87">
            <w:pPr>
              <w:spacing w:before="40" w:after="40" w:line="240" w:lineRule="auto"/>
              <w:rPr>
                <w:rFonts w:ascii="Arial" w:eastAsia="Times New Roman" w:hAnsi="Arial" w:cs="Arial"/>
                <w:sz w:val="20"/>
                <w:szCs w:val="20"/>
                <w:lang w:eastAsia="en-GB"/>
              </w:rPr>
            </w:pPr>
            <w:r w:rsidRPr="001A6B87">
              <w:rPr>
                <w:rFonts w:ascii="Arial" w:eastAsia="Times New Roman" w:hAnsi="Arial" w:cs="Arial"/>
                <w:sz w:val="20"/>
                <w:szCs w:val="20"/>
                <w:lang w:eastAsia="en-GB"/>
              </w:rPr>
              <w:t>H&amp;N/</w:t>
            </w:r>
            <w:r w:rsidR="00B26435" w:rsidRPr="001A6B87">
              <w:rPr>
                <w:rFonts w:ascii="Arial" w:eastAsia="Times New Roman" w:hAnsi="Arial" w:cs="Arial"/>
                <w:sz w:val="20"/>
                <w:szCs w:val="20"/>
                <w:lang w:eastAsia="en-GB"/>
              </w:rPr>
              <w:t xml:space="preserve"> </w:t>
            </w:r>
            <w:r w:rsidRPr="001A6B87">
              <w:rPr>
                <w:rFonts w:ascii="Arial" w:eastAsia="Times New Roman" w:hAnsi="Arial" w:cs="Arial"/>
                <w:sz w:val="20"/>
                <w:szCs w:val="20"/>
                <w:lang w:eastAsia="en-GB"/>
              </w:rPr>
              <w:t>Haem</w:t>
            </w:r>
          </w:p>
        </w:tc>
        <w:tc>
          <w:tcPr>
            <w:tcW w:w="1469" w:type="dxa"/>
            <w:shd w:val="clear" w:color="auto" w:fill="auto"/>
            <w:noWrap/>
          </w:tcPr>
          <w:p w:rsidR="009B601A" w:rsidRPr="001A6B87" w:rsidRDefault="009B601A" w:rsidP="001A6B87">
            <w:pPr>
              <w:spacing w:before="40" w:after="40" w:line="240" w:lineRule="auto"/>
              <w:rPr>
                <w:rFonts w:ascii="Arial" w:eastAsia="Times New Roman" w:hAnsi="Arial" w:cs="Arial"/>
                <w:sz w:val="20"/>
                <w:szCs w:val="20"/>
                <w:lang w:eastAsia="en-GB"/>
              </w:rPr>
            </w:pPr>
            <w:r w:rsidRPr="001A6B87">
              <w:rPr>
                <w:rFonts w:ascii="Arial" w:eastAsia="Times New Roman" w:hAnsi="Arial" w:cs="Arial"/>
                <w:sz w:val="20"/>
                <w:szCs w:val="20"/>
                <w:lang w:eastAsia="en-GB"/>
              </w:rPr>
              <w:t>Whiston</w:t>
            </w:r>
          </w:p>
        </w:tc>
        <w:tc>
          <w:tcPr>
            <w:tcW w:w="1214" w:type="dxa"/>
            <w:shd w:val="clear" w:color="auto" w:fill="auto"/>
          </w:tcPr>
          <w:p w:rsidR="009B601A" w:rsidRPr="001A6B87" w:rsidRDefault="009B601A" w:rsidP="001A6B87">
            <w:pPr>
              <w:spacing w:before="40" w:after="40" w:line="240" w:lineRule="auto"/>
              <w:rPr>
                <w:rFonts w:ascii="Arial" w:eastAsia="Times New Roman" w:hAnsi="Arial" w:cs="Arial"/>
                <w:sz w:val="20"/>
                <w:szCs w:val="20"/>
                <w:lang w:eastAsia="en-GB"/>
              </w:rPr>
            </w:pPr>
            <w:r w:rsidRPr="001A6B87">
              <w:rPr>
                <w:rFonts w:ascii="Arial" w:eastAsia="Times New Roman" w:hAnsi="Arial" w:cs="Arial"/>
                <w:sz w:val="20"/>
                <w:szCs w:val="20"/>
                <w:lang w:eastAsia="en-GB"/>
              </w:rPr>
              <w:t>Rad RT</w:t>
            </w:r>
          </w:p>
        </w:tc>
        <w:tc>
          <w:tcPr>
            <w:tcW w:w="3341" w:type="dxa"/>
            <w:shd w:val="clear" w:color="auto" w:fill="auto"/>
          </w:tcPr>
          <w:p w:rsidR="009B601A" w:rsidRPr="001A6B87" w:rsidRDefault="009B601A" w:rsidP="001A6B87">
            <w:pPr>
              <w:spacing w:before="40" w:after="40" w:line="240" w:lineRule="auto"/>
              <w:rPr>
                <w:rFonts w:ascii="Arial" w:hAnsi="Arial" w:cs="Arial"/>
                <w:sz w:val="20"/>
                <w:szCs w:val="20"/>
              </w:rPr>
            </w:pPr>
            <w:r w:rsidRPr="001A6B87">
              <w:rPr>
                <w:rFonts w:ascii="Arial" w:hAnsi="Arial" w:cs="Arial"/>
                <w:bCs/>
                <w:sz w:val="20"/>
                <w:szCs w:val="20"/>
                <w:lang w:val="en-US" w:eastAsia="en-GB"/>
              </w:rPr>
              <w:t>COVID-19 Radiotherapy treatment delayed as awaiting International Lymphoma Radiation Oncology group (ILROG) advice on dose reduction due to COVID-19</w:t>
            </w:r>
          </w:p>
        </w:tc>
        <w:tc>
          <w:tcPr>
            <w:tcW w:w="1069" w:type="dxa"/>
            <w:shd w:val="clear" w:color="auto" w:fill="auto"/>
            <w:noWrap/>
          </w:tcPr>
          <w:p w:rsidR="009B601A" w:rsidRPr="001A6B87" w:rsidRDefault="009B601A" w:rsidP="001A6B87">
            <w:pPr>
              <w:spacing w:before="40" w:after="40" w:line="240" w:lineRule="auto"/>
              <w:rPr>
                <w:rFonts w:ascii="Arial" w:eastAsia="Times New Roman" w:hAnsi="Arial" w:cs="Arial"/>
                <w:sz w:val="20"/>
                <w:szCs w:val="20"/>
                <w:lang w:eastAsia="en-GB"/>
              </w:rPr>
            </w:pPr>
            <w:r w:rsidRPr="001A6B87">
              <w:rPr>
                <w:rFonts w:ascii="Arial" w:eastAsia="Times New Roman" w:hAnsi="Arial" w:cs="Arial"/>
                <w:sz w:val="20"/>
                <w:szCs w:val="20"/>
                <w:lang w:eastAsia="en-GB"/>
              </w:rPr>
              <w:t>No</w:t>
            </w:r>
          </w:p>
        </w:tc>
      </w:tr>
      <w:tr w:rsidR="009B601A" w:rsidRPr="001A6B87" w:rsidTr="001A6B87">
        <w:trPr>
          <w:trHeight w:val="375"/>
        </w:trPr>
        <w:tc>
          <w:tcPr>
            <w:tcW w:w="805" w:type="dxa"/>
            <w:shd w:val="clear" w:color="auto" w:fill="auto"/>
            <w:noWrap/>
          </w:tcPr>
          <w:p w:rsidR="009B601A" w:rsidRPr="001A6B87" w:rsidRDefault="009B601A" w:rsidP="001A6B87">
            <w:pPr>
              <w:spacing w:before="40" w:after="40" w:line="240" w:lineRule="auto"/>
              <w:rPr>
                <w:rFonts w:ascii="Arial" w:eastAsia="Times New Roman" w:hAnsi="Arial" w:cs="Arial"/>
                <w:sz w:val="20"/>
                <w:szCs w:val="20"/>
                <w:lang w:eastAsia="en-GB"/>
              </w:rPr>
            </w:pPr>
            <w:r w:rsidRPr="001A6B87">
              <w:rPr>
                <w:rFonts w:ascii="Arial" w:eastAsia="Times New Roman" w:hAnsi="Arial" w:cs="Arial"/>
                <w:sz w:val="20"/>
                <w:szCs w:val="20"/>
                <w:lang w:eastAsia="en-GB"/>
              </w:rPr>
              <w:t>130</w:t>
            </w:r>
          </w:p>
        </w:tc>
        <w:tc>
          <w:tcPr>
            <w:tcW w:w="535" w:type="dxa"/>
            <w:shd w:val="clear" w:color="auto" w:fill="auto"/>
            <w:noWrap/>
          </w:tcPr>
          <w:p w:rsidR="009B601A" w:rsidRPr="001A6B87" w:rsidRDefault="009B601A" w:rsidP="001A6B87">
            <w:pPr>
              <w:spacing w:before="40" w:after="40" w:line="240" w:lineRule="auto"/>
              <w:rPr>
                <w:rFonts w:ascii="Arial" w:eastAsia="Times New Roman" w:hAnsi="Arial" w:cs="Arial"/>
                <w:sz w:val="20"/>
                <w:szCs w:val="20"/>
                <w:lang w:eastAsia="en-GB"/>
              </w:rPr>
            </w:pPr>
            <w:r w:rsidRPr="001A6B87">
              <w:rPr>
                <w:rFonts w:ascii="Arial" w:eastAsia="Times New Roman" w:hAnsi="Arial" w:cs="Arial"/>
                <w:sz w:val="20"/>
                <w:szCs w:val="20"/>
                <w:lang w:eastAsia="en-GB"/>
              </w:rPr>
              <w:t>52</w:t>
            </w:r>
          </w:p>
        </w:tc>
        <w:tc>
          <w:tcPr>
            <w:tcW w:w="668" w:type="dxa"/>
            <w:shd w:val="clear" w:color="auto" w:fill="auto"/>
            <w:noWrap/>
          </w:tcPr>
          <w:p w:rsidR="009B601A" w:rsidRPr="001A6B87" w:rsidRDefault="009B601A" w:rsidP="001A6B87">
            <w:pPr>
              <w:spacing w:before="40" w:after="40" w:line="240" w:lineRule="auto"/>
              <w:rPr>
                <w:rFonts w:ascii="Arial" w:eastAsia="Times New Roman" w:hAnsi="Arial" w:cs="Arial"/>
                <w:sz w:val="20"/>
                <w:szCs w:val="20"/>
                <w:lang w:eastAsia="en-GB"/>
              </w:rPr>
            </w:pPr>
            <w:r w:rsidRPr="001A6B87">
              <w:rPr>
                <w:rFonts w:ascii="Arial" w:eastAsia="Times New Roman" w:hAnsi="Arial" w:cs="Arial"/>
                <w:sz w:val="20"/>
                <w:szCs w:val="20"/>
                <w:lang w:eastAsia="en-GB"/>
              </w:rPr>
              <w:t>182</w:t>
            </w:r>
          </w:p>
        </w:tc>
        <w:tc>
          <w:tcPr>
            <w:tcW w:w="1064" w:type="dxa"/>
            <w:shd w:val="clear" w:color="auto" w:fill="auto"/>
            <w:noWrap/>
          </w:tcPr>
          <w:p w:rsidR="009B601A" w:rsidRPr="001A6B87" w:rsidRDefault="009B601A" w:rsidP="001A6B87">
            <w:pPr>
              <w:spacing w:before="40" w:after="40" w:line="240" w:lineRule="auto"/>
              <w:rPr>
                <w:rFonts w:ascii="Arial" w:eastAsia="Times New Roman" w:hAnsi="Arial" w:cs="Arial"/>
                <w:sz w:val="20"/>
                <w:szCs w:val="20"/>
                <w:lang w:eastAsia="en-GB"/>
              </w:rPr>
            </w:pPr>
            <w:r w:rsidRPr="001A6B87">
              <w:rPr>
                <w:rFonts w:ascii="Arial" w:eastAsia="Times New Roman" w:hAnsi="Arial" w:cs="Arial"/>
                <w:sz w:val="20"/>
                <w:szCs w:val="20"/>
                <w:lang w:eastAsia="en-GB"/>
              </w:rPr>
              <w:t>Lung</w:t>
            </w:r>
          </w:p>
        </w:tc>
        <w:tc>
          <w:tcPr>
            <w:tcW w:w="1469" w:type="dxa"/>
            <w:shd w:val="clear" w:color="auto" w:fill="auto"/>
            <w:noWrap/>
          </w:tcPr>
          <w:p w:rsidR="009B601A" w:rsidRPr="001A6B87" w:rsidRDefault="009B601A" w:rsidP="001A6B87">
            <w:pPr>
              <w:spacing w:before="40" w:after="40" w:line="240" w:lineRule="auto"/>
              <w:rPr>
                <w:rFonts w:ascii="Arial" w:eastAsia="Times New Roman" w:hAnsi="Arial" w:cs="Arial"/>
                <w:sz w:val="20"/>
                <w:szCs w:val="20"/>
                <w:lang w:eastAsia="en-GB"/>
              </w:rPr>
            </w:pPr>
            <w:r w:rsidRPr="001A6B87">
              <w:rPr>
                <w:rFonts w:ascii="Arial" w:eastAsia="Times New Roman" w:hAnsi="Arial" w:cs="Arial"/>
                <w:sz w:val="20"/>
                <w:szCs w:val="20"/>
                <w:lang w:eastAsia="en-GB"/>
              </w:rPr>
              <w:t>RLH/LHCH</w:t>
            </w:r>
          </w:p>
        </w:tc>
        <w:tc>
          <w:tcPr>
            <w:tcW w:w="1214" w:type="dxa"/>
            <w:shd w:val="clear" w:color="auto" w:fill="auto"/>
          </w:tcPr>
          <w:p w:rsidR="009B601A" w:rsidRPr="001A6B87" w:rsidRDefault="009B601A" w:rsidP="001A6B87">
            <w:pPr>
              <w:spacing w:before="40" w:after="40" w:line="240" w:lineRule="auto"/>
              <w:rPr>
                <w:rFonts w:ascii="Arial" w:hAnsi="Arial" w:cs="Arial"/>
                <w:sz w:val="20"/>
                <w:szCs w:val="20"/>
              </w:rPr>
            </w:pPr>
            <w:r w:rsidRPr="001A6B87">
              <w:rPr>
                <w:rFonts w:ascii="Arial" w:eastAsia="Times New Roman" w:hAnsi="Arial" w:cs="Arial"/>
                <w:sz w:val="20"/>
                <w:szCs w:val="20"/>
                <w:lang w:eastAsia="en-GB"/>
              </w:rPr>
              <w:t>Rad RT</w:t>
            </w:r>
          </w:p>
        </w:tc>
        <w:tc>
          <w:tcPr>
            <w:tcW w:w="3341" w:type="dxa"/>
            <w:shd w:val="clear" w:color="auto" w:fill="auto"/>
          </w:tcPr>
          <w:p w:rsidR="009B601A" w:rsidRPr="001A6B87" w:rsidRDefault="009B601A" w:rsidP="001A6B87">
            <w:pPr>
              <w:spacing w:before="40" w:after="40" w:line="240" w:lineRule="auto"/>
              <w:rPr>
                <w:rFonts w:ascii="Arial" w:hAnsi="Arial" w:cs="Arial"/>
                <w:sz w:val="20"/>
                <w:szCs w:val="20"/>
              </w:rPr>
            </w:pPr>
            <w:r w:rsidRPr="001A6B87">
              <w:rPr>
                <w:rFonts w:ascii="Arial" w:hAnsi="Arial" w:cs="Arial"/>
                <w:sz w:val="20"/>
                <w:szCs w:val="20"/>
              </w:rPr>
              <w:t>Delay to first appointment due to Lung consultant availability</w:t>
            </w:r>
          </w:p>
        </w:tc>
        <w:tc>
          <w:tcPr>
            <w:tcW w:w="1069" w:type="dxa"/>
            <w:shd w:val="clear" w:color="auto" w:fill="auto"/>
            <w:noWrap/>
          </w:tcPr>
          <w:p w:rsidR="009B601A" w:rsidRPr="001A6B87" w:rsidRDefault="009B601A" w:rsidP="001A6B87">
            <w:pPr>
              <w:spacing w:before="40" w:after="40" w:line="240" w:lineRule="auto"/>
              <w:rPr>
                <w:rFonts w:ascii="Arial" w:eastAsia="Times New Roman" w:hAnsi="Arial" w:cs="Arial"/>
                <w:sz w:val="20"/>
                <w:szCs w:val="20"/>
                <w:lang w:eastAsia="en-GB"/>
              </w:rPr>
            </w:pPr>
            <w:r w:rsidRPr="001A6B87">
              <w:rPr>
                <w:rFonts w:ascii="Arial" w:eastAsia="Times New Roman" w:hAnsi="Arial" w:cs="Arial"/>
                <w:sz w:val="20"/>
                <w:szCs w:val="20"/>
                <w:lang w:eastAsia="en-GB"/>
              </w:rPr>
              <w:t>Yes</w:t>
            </w:r>
          </w:p>
        </w:tc>
      </w:tr>
    </w:tbl>
    <w:p w:rsidR="009B601A" w:rsidRPr="001C3A18" w:rsidRDefault="009B601A" w:rsidP="009B601A">
      <w:pPr>
        <w:spacing w:after="0" w:line="240" w:lineRule="auto"/>
        <w:ind w:left="-426"/>
        <w:jc w:val="both"/>
        <w:rPr>
          <w:rFonts w:ascii="Arial" w:hAnsi="Arial" w:cs="Arial"/>
          <w:b/>
          <w:sz w:val="24"/>
        </w:rPr>
      </w:pPr>
      <w:r w:rsidRPr="001C3A18">
        <w:rPr>
          <w:rFonts w:ascii="Arial" w:hAnsi="Arial" w:cs="Arial"/>
          <w:b/>
          <w:sz w:val="24"/>
        </w:rPr>
        <w:lastRenderedPageBreak/>
        <w:t>62 Day Screening</w:t>
      </w:r>
    </w:p>
    <w:p w:rsidR="009B601A" w:rsidRPr="001C3A18" w:rsidRDefault="009B601A" w:rsidP="009B601A">
      <w:pPr>
        <w:spacing w:after="0" w:line="240" w:lineRule="auto"/>
        <w:ind w:left="-426"/>
        <w:contextualSpacing/>
        <w:jc w:val="both"/>
        <w:rPr>
          <w:rFonts w:ascii="Arial" w:hAnsi="Arial" w:cs="Arial"/>
          <w:bCs/>
          <w:sz w:val="24"/>
        </w:rPr>
      </w:pPr>
      <w:r w:rsidRPr="001C3A18">
        <w:rPr>
          <w:rFonts w:ascii="Arial" w:hAnsi="Arial" w:cs="Arial"/>
          <w:bCs/>
          <w:sz w:val="24"/>
        </w:rPr>
        <w:t xml:space="preserve">There were no 62 Day Screening breaches for May. </w:t>
      </w:r>
    </w:p>
    <w:p w:rsidR="009B601A" w:rsidRPr="00C52760" w:rsidRDefault="009B601A" w:rsidP="009B601A">
      <w:pPr>
        <w:spacing w:after="0" w:line="240" w:lineRule="auto"/>
        <w:ind w:left="-426"/>
        <w:contextualSpacing/>
        <w:jc w:val="both"/>
        <w:rPr>
          <w:rFonts w:ascii="Arial" w:hAnsi="Arial" w:cs="Arial"/>
          <w:bCs/>
          <w:sz w:val="20"/>
          <w:szCs w:val="20"/>
        </w:rPr>
      </w:pPr>
    </w:p>
    <w:p w:rsidR="009B601A" w:rsidRPr="001C3A18" w:rsidRDefault="009B601A" w:rsidP="009B601A">
      <w:pPr>
        <w:spacing w:after="0" w:line="240" w:lineRule="auto"/>
        <w:ind w:left="-426"/>
        <w:contextualSpacing/>
        <w:jc w:val="both"/>
        <w:rPr>
          <w:rFonts w:ascii="Arial" w:hAnsi="Arial" w:cs="Arial"/>
          <w:bCs/>
          <w:sz w:val="24"/>
        </w:rPr>
      </w:pPr>
      <w:r w:rsidRPr="001C3A18">
        <w:rPr>
          <w:rFonts w:ascii="Arial" w:hAnsi="Arial" w:cs="Arial"/>
          <w:b/>
          <w:sz w:val="24"/>
        </w:rPr>
        <w:t>7 Day Performance (Internal Target)</w:t>
      </w:r>
    </w:p>
    <w:p w:rsidR="009B601A" w:rsidRPr="001C3A18" w:rsidRDefault="009B601A" w:rsidP="009B601A">
      <w:pPr>
        <w:spacing w:after="0"/>
        <w:ind w:left="-425"/>
        <w:rPr>
          <w:rFonts w:ascii="Arial" w:hAnsi="Arial" w:cs="Arial"/>
          <w:sz w:val="24"/>
        </w:rPr>
      </w:pPr>
      <w:r w:rsidRPr="001C3A18">
        <w:rPr>
          <w:rFonts w:ascii="Arial" w:hAnsi="Arial" w:cs="Arial"/>
          <w:sz w:val="24"/>
        </w:rPr>
        <w:t>7 day KPI for May 2020 is at 100% against a stretch target of 90%.</w:t>
      </w:r>
    </w:p>
    <w:p w:rsidR="009B601A" w:rsidRPr="00C52760" w:rsidRDefault="009B601A" w:rsidP="009B601A">
      <w:pPr>
        <w:spacing w:after="0" w:line="240" w:lineRule="auto"/>
        <w:ind w:left="-426"/>
        <w:contextualSpacing/>
        <w:jc w:val="both"/>
        <w:rPr>
          <w:rFonts w:ascii="Arial" w:hAnsi="Arial" w:cs="Arial"/>
          <w:bCs/>
          <w:sz w:val="20"/>
          <w:szCs w:val="20"/>
        </w:rPr>
      </w:pPr>
    </w:p>
    <w:p w:rsidR="009B601A" w:rsidRPr="001C3A18" w:rsidRDefault="009B601A" w:rsidP="009B601A">
      <w:pPr>
        <w:spacing w:after="0" w:line="240" w:lineRule="auto"/>
        <w:ind w:left="-426"/>
        <w:contextualSpacing/>
        <w:jc w:val="both"/>
        <w:rPr>
          <w:rFonts w:ascii="Arial" w:hAnsi="Arial" w:cs="Arial"/>
          <w:b/>
          <w:sz w:val="24"/>
        </w:rPr>
      </w:pPr>
      <w:r w:rsidRPr="001C3A18">
        <w:rPr>
          <w:rFonts w:ascii="Arial" w:hAnsi="Arial" w:cs="Arial"/>
          <w:b/>
          <w:sz w:val="24"/>
        </w:rPr>
        <w:t>24 Day (Internal Target)</w:t>
      </w:r>
    </w:p>
    <w:p w:rsidR="009B601A" w:rsidRPr="001C3A18" w:rsidRDefault="009B601A" w:rsidP="009B601A">
      <w:pPr>
        <w:spacing w:after="0" w:line="240" w:lineRule="auto"/>
        <w:ind w:left="-426"/>
        <w:contextualSpacing/>
        <w:jc w:val="both"/>
        <w:rPr>
          <w:rFonts w:ascii="Arial" w:hAnsi="Arial" w:cs="Arial"/>
          <w:sz w:val="24"/>
        </w:rPr>
      </w:pPr>
      <w:r w:rsidRPr="001C3A18">
        <w:rPr>
          <w:rFonts w:ascii="Arial" w:hAnsi="Arial" w:cs="Arial"/>
          <w:sz w:val="24"/>
        </w:rPr>
        <w:t>24 day KPI for May 2020 is at 80.8% against a stretch target of 85%.</w:t>
      </w:r>
    </w:p>
    <w:p w:rsidR="009B601A" w:rsidRPr="00C52760" w:rsidRDefault="009B601A" w:rsidP="009B601A">
      <w:pPr>
        <w:spacing w:after="0" w:line="240" w:lineRule="auto"/>
        <w:ind w:left="-426"/>
        <w:contextualSpacing/>
        <w:jc w:val="both"/>
        <w:rPr>
          <w:rFonts w:ascii="Arial" w:hAnsi="Arial" w:cs="Arial"/>
          <w:sz w:val="20"/>
          <w:szCs w:val="20"/>
        </w:rPr>
      </w:pPr>
    </w:p>
    <w:p w:rsidR="009B601A" w:rsidRPr="001C3A18" w:rsidRDefault="00124391" w:rsidP="009B601A">
      <w:pPr>
        <w:spacing w:after="0"/>
        <w:ind w:left="-426"/>
        <w:rPr>
          <w:rFonts w:ascii="Arial" w:hAnsi="Arial" w:cs="Arial"/>
          <w:b/>
          <w:sz w:val="24"/>
        </w:rPr>
      </w:pPr>
      <w:r w:rsidRPr="001C3A18">
        <w:rPr>
          <w:rFonts w:ascii="Arial" w:hAnsi="Arial" w:cs="Arial"/>
          <w:b/>
          <w:sz w:val="24"/>
        </w:rPr>
        <w:t xml:space="preserve">This chart shows the </w:t>
      </w:r>
      <w:r w:rsidR="009B601A" w:rsidRPr="001C3A18">
        <w:rPr>
          <w:rFonts w:ascii="Arial" w:hAnsi="Arial" w:cs="Arial"/>
          <w:b/>
          <w:sz w:val="24"/>
        </w:rPr>
        <w:t xml:space="preserve">24 day and 7 day performance </w:t>
      </w:r>
      <w:r w:rsidR="00B26435" w:rsidRPr="001C3A18">
        <w:rPr>
          <w:rFonts w:ascii="Arial" w:hAnsi="Arial" w:cs="Arial"/>
          <w:b/>
          <w:sz w:val="24"/>
        </w:rPr>
        <w:t>again</w:t>
      </w:r>
      <w:r w:rsidRPr="001C3A18">
        <w:rPr>
          <w:rFonts w:ascii="Arial" w:hAnsi="Arial" w:cs="Arial"/>
          <w:b/>
          <w:sz w:val="24"/>
        </w:rPr>
        <w:t>st the targets:</w:t>
      </w:r>
    </w:p>
    <w:p w:rsidR="005124D1" w:rsidRPr="001A6B87" w:rsidRDefault="005124D1" w:rsidP="009B601A">
      <w:pPr>
        <w:spacing w:after="0"/>
        <w:ind w:left="-426"/>
        <w:rPr>
          <w:rFonts w:ascii="Arial" w:hAnsi="Arial" w:cs="Arial"/>
          <w:b/>
          <w:sz w:val="12"/>
          <w:szCs w:val="12"/>
        </w:rPr>
      </w:pPr>
    </w:p>
    <w:p w:rsidR="009B601A" w:rsidRPr="009B601A" w:rsidRDefault="009B601A" w:rsidP="009B601A">
      <w:pPr>
        <w:spacing w:after="0" w:line="240" w:lineRule="auto"/>
        <w:ind w:left="-426"/>
        <w:jc w:val="both"/>
        <w:rPr>
          <w:rFonts w:ascii="Arial" w:eastAsia="Calibri" w:hAnsi="Arial" w:cs="Arial"/>
          <w:bCs/>
          <w:sz w:val="24"/>
          <w:szCs w:val="24"/>
        </w:rPr>
      </w:pPr>
      <w:r w:rsidRPr="009B601A">
        <w:rPr>
          <w:noProof/>
          <w:lang w:eastAsia="en-GB"/>
        </w:rPr>
        <w:drawing>
          <wp:inline distT="0" distB="0" distL="0" distR="0" wp14:anchorId="426E3A68" wp14:editId="19C38AD7">
            <wp:extent cx="6501539" cy="2270502"/>
            <wp:effectExtent l="0" t="0" r="13970" b="15875"/>
            <wp:docPr id="27" name="Chart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9B601A" w:rsidRPr="00C52760" w:rsidRDefault="009B601A" w:rsidP="009B601A">
      <w:pPr>
        <w:spacing w:after="0" w:line="240" w:lineRule="auto"/>
        <w:ind w:left="-426"/>
        <w:jc w:val="both"/>
        <w:rPr>
          <w:rFonts w:ascii="Arial" w:eastAsia="Calibri" w:hAnsi="Arial" w:cs="Arial"/>
          <w:bCs/>
          <w:sz w:val="12"/>
          <w:szCs w:val="12"/>
        </w:rPr>
      </w:pPr>
    </w:p>
    <w:p w:rsidR="009B601A" w:rsidRDefault="009B601A" w:rsidP="009B601A">
      <w:pPr>
        <w:spacing w:after="0" w:line="240" w:lineRule="auto"/>
        <w:ind w:left="-426"/>
        <w:jc w:val="both"/>
        <w:rPr>
          <w:rFonts w:ascii="Arial" w:eastAsia="Calibri" w:hAnsi="Arial" w:cs="Arial"/>
          <w:bCs/>
          <w:sz w:val="24"/>
        </w:rPr>
      </w:pPr>
      <w:r w:rsidRPr="001C3A18">
        <w:rPr>
          <w:rFonts w:ascii="Arial" w:eastAsia="Calibri" w:hAnsi="Arial" w:cs="Arial"/>
          <w:bCs/>
          <w:sz w:val="24"/>
        </w:rPr>
        <w:t>CCC continues to monitor 24 day performance for patients on the 62-day pathway. This is an internal target that aids breach avoidance for the system. 24 day awareness sessions continue to be available to all staff.</w:t>
      </w:r>
    </w:p>
    <w:p w:rsidR="00A36BA4" w:rsidRPr="001C3A18" w:rsidRDefault="00A36BA4" w:rsidP="009B601A">
      <w:pPr>
        <w:spacing w:after="0" w:line="240" w:lineRule="auto"/>
        <w:ind w:left="-426"/>
        <w:jc w:val="both"/>
        <w:rPr>
          <w:rFonts w:ascii="Arial" w:eastAsia="Calibri" w:hAnsi="Arial" w:cs="Arial"/>
          <w:bCs/>
          <w:sz w:val="24"/>
        </w:rPr>
      </w:pPr>
    </w:p>
    <w:p w:rsidR="009B601A" w:rsidRPr="00C52760" w:rsidRDefault="009B601A" w:rsidP="009B601A">
      <w:pPr>
        <w:spacing w:after="0" w:line="240" w:lineRule="auto"/>
        <w:ind w:left="-426"/>
        <w:contextualSpacing/>
        <w:jc w:val="both"/>
        <w:rPr>
          <w:rFonts w:ascii="Arial" w:hAnsi="Arial" w:cs="Arial"/>
          <w:sz w:val="12"/>
          <w:szCs w:val="12"/>
        </w:rPr>
      </w:pPr>
    </w:p>
    <w:p w:rsidR="009B601A" w:rsidRPr="001C3A18" w:rsidRDefault="009B601A" w:rsidP="009B601A">
      <w:pPr>
        <w:spacing w:after="0" w:line="240" w:lineRule="auto"/>
        <w:ind w:left="-426"/>
        <w:contextualSpacing/>
        <w:jc w:val="both"/>
        <w:rPr>
          <w:rFonts w:ascii="Arial" w:hAnsi="Arial" w:cs="Arial"/>
          <w:b/>
          <w:sz w:val="24"/>
        </w:rPr>
      </w:pPr>
      <w:r w:rsidRPr="001C3A18">
        <w:rPr>
          <w:rFonts w:ascii="Arial" w:hAnsi="Arial" w:cs="Arial"/>
          <w:b/>
          <w:sz w:val="24"/>
        </w:rPr>
        <w:t xml:space="preserve">62 Day breaches by tumour group: 1/4/20 – </w:t>
      </w:r>
      <w:r w:rsidR="00982ABB" w:rsidRPr="001C3A18">
        <w:rPr>
          <w:rFonts w:ascii="Arial" w:hAnsi="Arial" w:cs="Arial"/>
          <w:b/>
          <w:sz w:val="24"/>
        </w:rPr>
        <w:t>11</w:t>
      </w:r>
      <w:r w:rsidRPr="001C3A18">
        <w:rPr>
          <w:rFonts w:ascii="Arial" w:hAnsi="Arial" w:cs="Arial"/>
          <w:b/>
          <w:sz w:val="24"/>
        </w:rPr>
        <w:t>/6/20</w:t>
      </w:r>
    </w:p>
    <w:p w:rsidR="008E708A" w:rsidRDefault="008E708A" w:rsidP="009B601A">
      <w:pPr>
        <w:spacing w:after="0" w:line="240" w:lineRule="auto"/>
        <w:ind w:left="-426"/>
        <w:contextualSpacing/>
        <w:jc w:val="both"/>
        <w:rPr>
          <w:rFonts w:ascii="Arial" w:hAnsi="Arial" w:cs="Arial"/>
          <w:b/>
        </w:rPr>
      </w:pPr>
      <w:r>
        <w:rPr>
          <w:noProof/>
          <w:lang w:eastAsia="en-GB"/>
        </w:rPr>
        <w:drawing>
          <wp:inline distT="0" distB="0" distL="0" distR="0" wp14:anchorId="37301DAE" wp14:editId="3A5D3BBE">
            <wp:extent cx="6441552" cy="1286934"/>
            <wp:effectExtent l="0" t="0" r="0" b="889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6453051" cy="1289231"/>
                    </a:xfrm>
                    <a:prstGeom prst="rect">
                      <a:avLst/>
                    </a:prstGeom>
                  </pic:spPr>
                </pic:pic>
              </a:graphicData>
            </a:graphic>
          </wp:inline>
        </w:drawing>
      </w:r>
    </w:p>
    <w:p w:rsidR="00982ABB" w:rsidRPr="009B601A" w:rsidRDefault="00982ABB" w:rsidP="009B601A">
      <w:pPr>
        <w:spacing w:after="0" w:line="240" w:lineRule="auto"/>
        <w:ind w:left="-426"/>
        <w:contextualSpacing/>
        <w:jc w:val="both"/>
        <w:rPr>
          <w:rFonts w:ascii="Arial" w:hAnsi="Arial" w:cs="Arial"/>
          <w:b/>
        </w:rPr>
      </w:pPr>
    </w:p>
    <w:p w:rsidR="009B601A" w:rsidRPr="001C3A18" w:rsidRDefault="009B601A" w:rsidP="009B601A">
      <w:pPr>
        <w:spacing w:after="0" w:line="240" w:lineRule="auto"/>
        <w:ind w:left="-426"/>
        <w:jc w:val="both"/>
        <w:rPr>
          <w:rFonts w:ascii="Arial" w:hAnsi="Arial" w:cs="Arial"/>
          <w:b/>
          <w:sz w:val="24"/>
        </w:rPr>
      </w:pPr>
      <w:r w:rsidRPr="001C3A18">
        <w:rPr>
          <w:rFonts w:ascii="Arial" w:hAnsi="Arial" w:cs="Arial"/>
          <w:b/>
          <w:sz w:val="24"/>
        </w:rPr>
        <w:t>28-day Faster Diagnosis Standard (FDS)</w:t>
      </w:r>
    </w:p>
    <w:p w:rsidR="00124391" w:rsidRPr="0012109F" w:rsidRDefault="00124391" w:rsidP="009B601A">
      <w:pPr>
        <w:spacing w:after="0" w:line="240" w:lineRule="auto"/>
        <w:ind w:left="-426"/>
        <w:jc w:val="both"/>
        <w:rPr>
          <w:rFonts w:ascii="Arial" w:hAnsi="Arial" w:cs="Arial"/>
        </w:rPr>
      </w:pPr>
    </w:p>
    <w:p w:rsidR="009B601A" w:rsidRPr="001C3A18" w:rsidRDefault="009B601A" w:rsidP="009B601A">
      <w:pPr>
        <w:spacing w:after="0" w:line="240" w:lineRule="auto"/>
        <w:ind w:left="-426"/>
        <w:jc w:val="both"/>
        <w:rPr>
          <w:rFonts w:ascii="Arial" w:hAnsi="Arial" w:cs="Arial"/>
          <w:sz w:val="24"/>
        </w:rPr>
      </w:pPr>
      <w:r w:rsidRPr="001C3A18">
        <w:rPr>
          <w:rFonts w:ascii="Arial" w:hAnsi="Arial" w:cs="Arial"/>
          <w:sz w:val="24"/>
        </w:rPr>
        <w:t xml:space="preserve">NHSE have advised that </w:t>
      </w:r>
      <w:r w:rsidRPr="001C3A18">
        <w:rPr>
          <w:rFonts w:ascii="Arial" w:hAnsi="Arial" w:cs="Arial"/>
          <w:iCs/>
          <w:sz w:val="24"/>
        </w:rPr>
        <w:t xml:space="preserve">the 28-day Faster Diagnosis Standard (which was due to come into effect from Wednesday 1 April 20) will not be subject to formal performance </w:t>
      </w:r>
      <w:r w:rsidR="00F2489E" w:rsidRPr="001C3A18">
        <w:rPr>
          <w:rFonts w:ascii="Arial" w:hAnsi="Arial" w:cs="Arial"/>
          <w:iCs/>
          <w:sz w:val="24"/>
        </w:rPr>
        <w:t>management;</w:t>
      </w:r>
      <w:r w:rsidRPr="001C3A18">
        <w:rPr>
          <w:rFonts w:ascii="Arial" w:hAnsi="Arial" w:cs="Arial"/>
          <w:iCs/>
          <w:sz w:val="24"/>
        </w:rPr>
        <w:t xml:space="preserve"> however data will still be collected.</w:t>
      </w:r>
      <w:r w:rsidR="00124391" w:rsidRPr="001C3A18">
        <w:rPr>
          <w:rFonts w:ascii="Arial" w:hAnsi="Arial" w:cs="Arial"/>
          <w:iCs/>
          <w:sz w:val="24"/>
        </w:rPr>
        <w:t xml:space="preserve"> </w:t>
      </w:r>
      <w:r w:rsidRPr="001C3A18">
        <w:rPr>
          <w:rFonts w:ascii="Arial" w:hAnsi="Arial" w:cs="Arial"/>
          <w:sz w:val="24"/>
        </w:rPr>
        <w:t xml:space="preserve">The NHS Operational Planning and Contracting Guidance 2020/2021 states that a target of 70% will be applied when this standard begins to be formally monitored. </w:t>
      </w:r>
    </w:p>
    <w:p w:rsidR="009B601A" w:rsidRPr="001C3A18" w:rsidRDefault="009B601A" w:rsidP="009B601A">
      <w:pPr>
        <w:spacing w:after="0" w:line="240" w:lineRule="auto"/>
        <w:ind w:left="-426"/>
        <w:jc w:val="both"/>
        <w:rPr>
          <w:rFonts w:ascii="Arial" w:hAnsi="Arial" w:cs="Arial"/>
          <w:sz w:val="24"/>
        </w:rPr>
      </w:pPr>
    </w:p>
    <w:p w:rsidR="00AC7BB5" w:rsidRPr="001C3A18" w:rsidRDefault="009B601A" w:rsidP="009B601A">
      <w:pPr>
        <w:spacing w:after="0" w:line="240" w:lineRule="auto"/>
        <w:ind w:left="-426"/>
        <w:jc w:val="both"/>
        <w:rPr>
          <w:rFonts w:ascii="Arial" w:hAnsi="Arial" w:cs="Arial"/>
          <w:iCs/>
          <w:sz w:val="24"/>
        </w:rPr>
      </w:pPr>
      <w:r w:rsidRPr="001C3A18">
        <w:rPr>
          <w:rFonts w:ascii="Arial" w:hAnsi="Arial" w:cs="Arial"/>
          <w:iCs/>
          <w:sz w:val="24"/>
        </w:rPr>
        <w:t>The 28 day FDS target was not achieved in May</w:t>
      </w:r>
      <w:r w:rsidR="00124391" w:rsidRPr="001C3A18">
        <w:rPr>
          <w:rFonts w:ascii="Arial" w:hAnsi="Arial" w:cs="Arial"/>
          <w:iCs/>
          <w:sz w:val="24"/>
        </w:rPr>
        <w:t>;</w:t>
      </w:r>
      <w:r w:rsidRPr="001C3A18">
        <w:rPr>
          <w:rFonts w:ascii="Arial" w:hAnsi="Arial" w:cs="Arial"/>
          <w:iCs/>
          <w:sz w:val="24"/>
        </w:rPr>
        <w:t xml:space="preserve"> one patient was diagnosed and this patient breached.</w:t>
      </w:r>
    </w:p>
    <w:p w:rsidR="009B601A" w:rsidRPr="00A36BA4" w:rsidRDefault="009B601A" w:rsidP="009B601A">
      <w:pPr>
        <w:spacing w:after="0" w:line="240" w:lineRule="auto"/>
        <w:ind w:left="-426"/>
        <w:jc w:val="both"/>
        <w:rPr>
          <w:rFonts w:ascii="Arial" w:hAnsi="Arial" w:cs="Arial"/>
          <w:iCs/>
          <w:sz w:val="16"/>
        </w:rPr>
      </w:pPr>
      <w:r w:rsidRPr="009B601A">
        <w:rPr>
          <w:rFonts w:ascii="Arial" w:hAnsi="Arial" w:cs="Arial"/>
          <w:iCs/>
        </w:rPr>
        <w:t xml:space="preserve"> </w:t>
      </w:r>
    </w:p>
    <w:tbl>
      <w:tblPr>
        <w:tblW w:w="10207" w:type="dxa"/>
        <w:tblInd w:w="-31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710"/>
        <w:gridCol w:w="850"/>
        <w:gridCol w:w="993"/>
        <w:gridCol w:w="993"/>
        <w:gridCol w:w="1276"/>
        <w:gridCol w:w="4393"/>
        <w:gridCol w:w="992"/>
      </w:tblGrid>
      <w:tr w:rsidR="00124391" w:rsidRPr="00124391" w:rsidTr="001C3A18">
        <w:trPr>
          <w:cantSplit/>
          <w:trHeight w:val="706"/>
        </w:trPr>
        <w:tc>
          <w:tcPr>
            <w:tcW w:w="710" w:type="dxa"/>
            <w:shd w:val="clear" w:color="auto" w:fill="auto"/>
            <w:vAlign w:val="center"/>
            <w:hideMark/>
          </w:tcPr>
          <w:p w:rsidR="00124391" w:rsidRPr="00124391" w:rsidRDefault="00124391" w:rsidP="001C3A18">
            <w:pPr>
              <w:spacing w:after="0" w:line="240" w:lineRule="auto"/>
              <w:jc w:val="center"/>
              <w:rPr>
                <w:rFonts w:ascii="Arial" w:eastAsia="Times New Roman" w:hAnsi="Arial" w:cs="Arial"/>
                <w:b/>
                <w:bCs/>
                <w:sz w:val="16"/>
                <w:szCs w:val="16"/>
                <w:lang w:eastAsia="en-GB"/>
              </w:rPr>
            </w:pPr>
            <w:r w:rsidRPr="00A36BA4">
              <w:rPr>
                <w:rFonts w:ascii="Arial" w:eastAsia="Times New Roman" w:hAnsi="Arial" w:cs="Arial"/>
                <w:b/>
                <w:bCs/>
                <w:sz w:val="14"/>
                <w:szCs w:val="16"/>
                <w:lang w:eastAsia="en-GB"/>
              </w:rPr>
              <w:t>Day into CCC</w:t>
            </w:r>
          </w:p>
        </w:tc>
        <w:tc>
          <w:tcPr>
            <w:tcW w:w="850" w:type="dxa"/>
            <w:vAlign w:val="center"/>
          </w:tcPr>
          <w:p w:rsidR="00124391" w:rsidRPr="00124391" w:rsidRDefault="00124391" w:rsidP="001C3A18">
            <w:pPr>
              <w:spacing w:after="0" w:line="240" w:lineRule="auto"/>
              <w:jc w:val="center"/>
              <w:rPr>
                <w:rFonts w:ascii="Arial" w:eastAsia="Times New Roman" w:hAnsi="Arial" w:cs="Arial"/>
                <w:b/>
                <w:bCs/>
                <w:color w:val="000000"/>
                <w:sz w:val="16"/>
                <w:szCs w:val="16"/>
                <w:lang w:eastAsia="en-GB"/>
              </w:rPr>
            </w:pPr>
            <w:r>
              <w:rPr>
                <w:rFonts w:ascii="Arial" w:eastAsia="Times New Roman" w:hAnsi="Arial" w:cs="Arial"/>
                <w:b/>
                <w:bCs/>
                <w:color w:val="000000"/>
                <w:sz w:val="16"/>
                <w:szCs w:val="16"/>
                <w:lang w:eastAsia="en-GB"/>
              </w:rPr>
              <w:t>Days to FDS</w:t>
            </w:r>
          </w:p>
        </w:tc>
        <w:tc>
          <w:tcPr>
            <w:tcW w:w="993" w:type="dxa"/>
            <w:shd w:val="clear" w:color="auto" w:fill="auto"/>
            <w:vAlign w:val="center"/>
            <w:hideMark/>
          </w:tcPr>
          <w:p w:rsidR="00124391" w:rsidRPr="00124391" w:rsidRDefault="00124391" w:rsidP="001C3A18">
            <w:pPr>
              <w:spacing w:after="0" w:line="240" w:lineRule="auto"/>
              <w:jc w:val="center"/>
              <w:rPr>
                <w:rFonts w:ascii="Arial" w:eastAsia="Times New Roman" w:hAnsi="Arial" w:cs="Arial"/>
                <w:b/>
                <w:bCs/>
                <w:sz w:val="16"/>
                <w:szCs w:val="16"/>
                <w:lang w:eastAsia="en-GB"/>
              </w:rPr>
            </w:pPr>
            <w:r w:rsidRPr="00124391">
              <w:rPr>
                <w:rFonts w:ascii="Arial" w:eastAsia="Times New Roman" w:hAnsi="Arial" w:cs="Arial"/>
                <w:b/>
                <w:bCs/>
                <w:color w:val="000000"/>
                <w:sz w:val="16"/>
                <w:szCs w:val="16"/>
                <w:lang w:eastAsia="en-GB"/>
              </w:rPr>
              <w:t>Tumour</w:t>
            </w:r>
          </w:p>
        </w:tc>
        <w:tc>
          <w:tcPr>
            <w:tcW w:w="993" w:type="dxa"/>
            <w:shd w:val="clear" w:color="auto" w:fill="auto"/>
            <w:vAlign w:val="center"/>
            <w:hideMark/>
          </w:tcPr>
          <w:p w:rsidR="00124391" w:rsidRPr="00124391" w:rsidRDefault="00124391" w:rsidP="001C3A18">
            <w:pPr>
              <w:spacing w:after="0" w:line="240" w:lineRule="auto"/>
              <w:jc w:val="center"/>
              <w:rPr>
                <w:rFonts w:ascii="Arial" w:eastAsia="Times New Roman" w:hAnsi="Arial" w:cs="Arial"/>
                <w:b/>
                <w:bCs/>
                <w:color w:val="000000"/>
                <w:sz w:val="16"/>
                <w:szCs w:val="16"/>
                <w:lang w:eastAsia="en-GB"/>
              </w:rPr>
            </w:pPr>
            <w:r w:rsidRPr="00124391">
              <w:rPr>
                <w:rFonts w:ascii="Arial" w:eastAsia="Times New Roman" w:hAnsi="Arial" w:cs="Arial"/>
                <w:b/>
                <w:bCs/>
                <w:sz w:val="16"/>
                <w:szCs w:val="16"/>
                <w:lang w:eastAsia="en-GB"/>
              </w:rPr>
              <w:t>Referring Trust</w:t>
            </w:r>
          </w:p>
        </w:tc>
        <w:tc>
          <w:tcPr>
            <w:tcW w:w="1276" w:type="dxa"/>
            <w:shd w:val="clear" w:color="auto" w:fill="auto"/>
            <w:noWrap/>
            <w:vAlign w:val="center"/>
            <w:hideMark/>
          </w:tcPr>
          <w:p w:rsidR="00124391" w:rsidRPr="00124391" w:rsidRDefault="00124391" w:rsidP="001C3A18">
            <w:pPr>
              <w:spacing w:after="0" w:line="240" w:lineRule="auto"/>
              <w:jc w:val="center"/>
              <w:rPr>
                <w:rFonts w:ascii="Arial" w:eastAsia="Times New Roman" w:hAnsi="Arial" w:cs="Arial"/>
                <w:b/>
                <w:bCs/>
                <w:color w:val="000000"/>
                <w:sz w:val="16"/>
                <w:szCs w:val="16"/>
                <w:lang w:eastAsia="en-GB"/>
              </w:rPr>
            </w:pPr>
            <w:r w:rsidRPr="00124391">
              <w:rPr>
                <w:rFonts w:ascii="Arial" w:eastAsia="Times New Roman" w:hAnsi="Arial" w:cs="Arial"/>
                <w:b/>
                <w:bCs/>
                <w:color w:val="000000"/>
                <w:sz w:val="16"/>
                <w:szCs w:val="16"/>
                <w:lang w:eastAsia="en-GB"/>
              </w:rPr>
              <w:t>Treatment</w:t>
            </w:r>
          </w:p>
        </w:tc>
        <w:tc>
          <w:tcPr>
            <w:tcW w:w="4393" w:type="dxa"/>
            <w:shd w:val="clear" w:color="auto" w:fill="auto"/>
            <w:vAlign w:val="center"/>
            <w:hideMark/>
          </w:tcPr>
          <w:p w:rsidR="00124391" w:rsidRPr="00124391" w:rsidRDefault="00124391" w:rsidP="001C3A18">
            <w:pPr>
              <w:spacing w:after="0" w:line="240" w:lineRule="auto"/>
              <w:jc w:val="center"/>
              <w:rPr>
                <w:rFonts w:ascii="Arial" w:eastAsia="Times New Roman" w:hAnsi="Arial" w:cs="Arial"/>
                <w:b/>
                <w:bCs/>
                <w:color w:val="000000"/>
                <w:sz w:val="16"/>
                <w:szCs w:val="16"/>
                <w:lang w:eastAsia="en-GB"/>
              </w:rPr>
            </w:pPr>
            <w:r w:rsidRPr="00124391">
              <w:rPr>
                <w:rFonts w:ascii="Arial" w:eastAsia="Times New Roman" w:hAnsi="Arial" w:cs="Arial"/>
                <w:b/>
                <w:bCs/>
                <w:color w:val="000000"/>
                <w:sz w:val="16"/>
                <w:szCs w:val="16"/>
                <w:lang w:eastAsia="en-GB"/>
              </w:rPr>
              <w:t>Reason</w:t>
            </w:r>
          </w:p>
        </w:tc>
        <w:tc>
          <w:tcPr>
            <w:tcW w:w="992" w:type="dxa"/>
            <w:shd w:val="clear" w:color="auto" w:fill="auto"/>
            <w:vAlign w:val="center"/>
            <w:hideMark/>
          </w:tcPr>
          <w:p w:rsidR="00124391" w:rsidRPr="00124391" w:rsidRDefault="00124391" w:rsidP="001C3A18">
            <w:pPr>
              <w:spacing w:after="0" w:line="240" w:lineRule="auto"/>
              <w:jc w:val="center"/>
              <w:rPr>
                <w:rFonts w:ascii="Arial" w:eastAsia="Times New Roman" w:hAnsi="Arial" w:cs="Arial"/>
                <w:b/>
                <w:bCs/>
                <w:color w:val="000000"/>
                <w:sz w:val="16"/>
                <w:szCs w:val="16"/>
                <w:lang w:eastAsia="en-GB"/>
              </w:rPr>
            </w:pPr>
            <w:r w:rsidRPr="00124391">
              <w:rPr>
                <w:rFonts w:ascii="Arial" w:eastAsia="Times New Roman" w:hAnsi="Arial" w:cs="Arial"/>
                <w:b/>
                <w:bCs/>
                <w:color w:val="000000"/>
                <w:sz w:val="16"/>
                <w:szCs w:val="16"/>
                <w:lang w:eastAsia="en-GB"/>
              </w:rPr>
              <w:t>Avoidable Breach</w:t>
            </w:r>
          </w:p>
        </w:tc>
      </w:tr>
      <w:tr w:rsidR="00124391" w:rsidRPr="00124391" w:rsidTr="00124391">
        <w:trPr>
          <w:trHeight w:val="295"/>
        </w:trPr>
        <w:tc>
          <w:tcPr>
            <w:tcW w:w="710" w:type="dxa"/>
            <w:shd w:val="clear" w:color="000000" w:fill="auto"/>
          </w:tcPr>
          <w:p w:rsidR="00124391" w:rsidRPr="00124391" w:rsidRDefault="00124391" w:rsidP="00C52760">
            <w:pPr>
              <w:spacing w:before="60" w:after="60" w:line="240" w:lineRule="auto"/>
              <w:jc w:val="center"/>
              <w:rPr>
                <w:rFonts w:ascii="Arial" w:eastAsia="Times New Roman" w:hAnsi="Arial" w:cs="Arial"/>
                <w:sz w:val="18"/>
                <w:szCs w:val="20"/>
                <w:lang w:eastAsia="en-GB"/>
              </w:rPr>
            </w:pPr>
            <w:r>
              <w:rPr>
                <w:rFonts w:ascii="Arial" w:eastAsia="Times New Roman" w:hAnsi="Arial" w:cs="Arial"/>
                <w:sz w:val="18"/>
                <w:szCs w:val="20"/>
                <w:lang w:eastAsia="en-GB"/>
              </w:rPr>
              <w:t>0</w:t>
            </w:r>
          </w:p>
        </w:tc>
        <w:tc>
          <w:tcPr>
            <w:tcW w:w="850" w:type="dxa"/>
            <w:shd w:val="clear" w:color="000000" w:fill="auto"/>
          </w:tcPr>
          <w:p w:rsidR="00124391" w:rsidRPr="00124391" w:rsidRDefault="00124391" w:rsidP="00C52760">
            <w:pPr>
              <w:spacing w:before="60" w:after="60" w:line="240" w:lineRule="auto"/>
              <w:jc w:val="center"/>
              <w:rPr>
                <w:rFonts w:ascii="Arial" w:eastAsia="Times New Roman" w:hAnsi="Arial" w:cs="Arial"/>
                <w:bCs/>
                <w:sz w:val="18"/>
                <w:szCs w:val="20"/>
                <w:lang w:eastAsia="en-GB"/>
              </w:rPr>
            </w:pPr>
            <w:r>
              <w:rPr>
                <w:rFonts w:ascii="Arial" w:eastAsia="Times New Roman" w:hAnsi="Arial" w:cs="Arial"/>
                <w:bCs/>
                <w:sz w:val="18"/>
                <w:szCs w:val="20"/>
                <w:lang w:eastAsia="en-GB"/>
              </w:rPr>
              <w:t>67</w:t>
            </w:r>
          </w:p>
        </w:tc>
        <w:tc>
          <w:tcPr>
            <w:tcW w:w="993" w:type="dxa"/>
            <w:shd w:val="clear" w:color="000000" w:fill="auto"/>
          </w:tcPr>
          <w:p w:rsidR="00124391" w:rsidRPr="00124391" w:rsidRDefault="00124391" w:rsidP="00C52760">
            <w:pPr>
              <w:spacing w:before="60" w:after="60" w:line="240" w:lineRule="auto"/>
              <w:rPr>
                <w:rFonts w:ascii="Arial" w:eastAsia="Times New Roman" w:hAnsi="Arial" w:cs="Arial"/>
                <w:bCs/>
                <w:sz w:val="18"/>
                <w:szCs w:val="20"/>
                <w:lang w:eastAsia="en-GB"/>
              </w:rPr>
            </w:pPr>
            <w:r w:rsidRPr="00124391">
              <w:rPr>
                <w:rFonts w:ascii="Arial" w:eastAsia="Times New Roman" w:hAnsi="Arial" w:cs="Arial"/>
                <w:bCs/>
                <w:sz w:val="18"/>
                <w:szCs w:val="20"/>
                <w:lang w:eastAsia="en-GB"/>
              </w:rPr>
              <w:t>Haem</w:t>
            </w:r>
          </w:p>
        </w:tc>
        <w:tc>
          <w:tcPr>
            <w:tcW w:w="993" w:type="dxa"/>
            <w:shd w:val="clear" w:color="000000" w:fill="auto"/>
          </w:tcPr>
          <w:p w:rsidR="00124391" w:rsidRPr="00124391" w:rsidRDefault="00124391" w:rsidP="00C52760">
            <w:pPr>
              <w:spacing w:before="60" w:after="60" w:line="240" w:lineRule="auto"/>
              <w:rPr>
                <w:rFonts w:ascii="Arial" w:eastAsia="Times New Roman" w:hAnsi="Arial" w:cs="Arial"/>
                <w:bCs/>
                <w:sz w:val="18"/>
                <w:szCs w:val="20"/>
                <w:lang w:eastAsia="en-GB"/>
              </w:rPr>
            </w:pPr>
            <w:r w:rsidRPr="00124391">
              <w:rPr>
                <w:rFonts w:ascii="Arial" w:eastAsia="Times New Roman" w:hAnsi="Arial" w:cs="Arial"/>
                <w:bCs/>
                <w:sz w:val="18"/>
                <w:szCs w:val="20"/>
                <w:lang w:eastAsia="en-GB"/>
              </w:rPr>
              <w:t>GP</w:t>
            </w:r>
          </w:p>
        </w:tc>
        <w:tc>
          <w:tcPr>
            <w:tcW w:w="1276" w:type="dxa"/>
          </w:tcPr>
          <w:p w:rsidR="00124391" w:rsidRPr="00124391" w:rsidRDefault="00124391" w:rsidP="00C52760">
            <w:pPr>
              <w:spacing w:before="60" w:after="60" w:line="240" w:lineRule="auto"/>
              <w:rPr>
                <w:rFonts w:ascii="Arial" w:hAnsi="Arial" w:cs="Arial"/>
                <w:sz w:val="18"/>
                <w:szCs w:val="20"/>
              </w:rPr>
            </w:pPr>
            <w:r w:rsidRPr="00124391">
              <w:rPr>
                <w:rFonts w:ascii="Arial" w:hAnsi="Arial" w:cs="Arial"/>
                <w:sz w:val="18"/>
                <w:szCs w:val="20"/>
              </w:rPr>
              <w:t xml:space="preserve">Chemo </w:t>
            </w:r>
          </w:p>
        </w:tc>
        <w:tc>
          <w:tcPr>
            <w:tcW w:w="4393" w:type="dxa"/>
          </w:tcPr>
          <w:p w:rsidR="00124391" w:rsidRPr="00124391" w:rsidRDefault="00124391" w:rsidP="00C52760">
            <w:pPr>
              <w:spacing w:before="60" w:after="60" w:line="240" w:lineRule="auto"/>
              <w:rPr>
                <w:rFonts w:ascii="Arial" w:hAnsi="Arial" w:cs="Arial"/>
                <w:sz w:val="18"/>
                <w:szCs w:val="20"/>
              </w:rPr>
            </w:pPr>
            <w:r w:rsidRPr="00124391">
              <w:rPr>
                <w:rFonts w:ascii="Arial" w:hAnsi="Arial" w:cs="Arial"/>
                <w:sz w:val="18"/>
                <w:szCs w:val="20"/>
              </w:rPr>
              <w:t>COVID - Diagnostics cancelled due to COVID and delay to CT scan due to social distancing</w:t>
            </w:r>
          </w:p>
        </w:tc>
        <w:tc>
          <w:tcPr>
            <w:tcW w:w="992" w:type="dxa"/>
          </w:tcPr>
          <w:p w:rsidR="00124391" w:rsidRPr="00124391" w:rsidRDefault="00124391" w:rsidP="00C52760">
            <w:pPr>
              <w:spacing w:before="60" w:after="60" w:line="240" w:lineRule="auto"/>
              <w:jc w:val="center"/>
              <w:rPr>
                <w:rFonts w:ascii="Arial" w:hAnsi="Arial" w:cs="Arial"/>
                <w:sz w:val="18"/>
                <w:szCs w:val="20"/>
              </w:rPr>
            </w:pPr>
            <w:r w:rsidRPr="00124391">
              <w:rPr>
                <w:rFonts w:ascii="Arial" w:hAnsi="Arial" w:cs="Arial"/>
                <w:sz w:val="18"/>
                <w:szCs w:val="20"/>
              </w:rPr>
              <w:t>No</w:t>
            </w:r>
          </w:p>
        </w:tc>
      </w:tr>
    </w:tbl>
    <w:p w:rsidR="00A36BA4" w:rsidRDefault="00A36BA4" w:rsidP="009B601A">
      <w:pPr>
        <w:spacing w:after="0" w:line="240" w:lineRule="auto"/>
        <w:ind w:left="-426"/>
        <w:contextualSpacing/>
        <w:jc w:val="both"/>
        <w:rPr>
          <w:rFonts w:ascii="Arial" w:hAnsi="Arial" w:cs="Arial"/>
          <w:b/>
          <w:sz w:val="24"/>
        </w:rPr>
      </w:pPr>
    </w:p>
    <w:p w:rsidR="009B601A" w:rsidRPr="001C3A18" w:rsidRDefault="009B601A" w:rsidP="009B601A">
      <w:pPr>
        <w:spacing w:after="0" w:line="240" w:lineRule="auto"/>
        <w:ind w:left="-426"/>
        <w:contextualSpacing/>
        <w:jc w:val="both"/>
        <w:rPr>
          <w:rFonts w:ascii="Arial" w:hAnsi="Arial" w:cs="Arial"/>
          <w:b/>
          <w:sz w:val="24"/>
        </w:rPr>
      </w:pPr>
      <w:r w:rsidRPr="001C3A18">
        <w:rPr>
          <w:rFonts w:ascii="Arial" w:hAnsi="Arial" w:cs="Arial"/>
          <w:b/>
          <w:sz w:val="24"/>
        </w:rPr>
        <w:t>Patients treated on or after 104 Days</w:t>
      </w:r>
      <w:r w:rsidR="00124391" w:rsidRPr="001C3A18">
        <w:rPr>
          <w:rFonts w:ascii="Arial" w:hAnsi="Arial" w:cs="Arial"/>
          <w:b/>
          <w:sz w:val="24"/>
        </w:rPr>
        <w:t xml:space="preserve"> </w:t>
      </w:r>
    </w:p>
    <w:p w:rsidR="009B601A" w:rsidRPr="00C52760" w:rsidRDefault="009B601A" w:rsidP="009B601A">
      <w:pPr>
        <w:spacing w:after="0" w:line="240" w:lineRule="auto"/>
        <w:ind w:left="-426"/>
        <w:contextualSpacing/>
        <w:jc w:val="both"/>
        <w:rPr>
          <w:rFonts w:ascii="Arial" w:hAnsi="Arial" w:cs="Arial"/>
          <w:sz w:val="16"/>
          <w:szCs w:val="16"/>
        </w:rPr>
      </w:pPr>
    </w:p>
    <w:p w:rsidR="009B601A" w:rsidRPr="001C3A18" w:rsidRDefault="009B601A" w:rsidP="009B601A">
      <w:pPr>
        <w:spacing w:line="240" w:lineRule="auto"/>
        <w:ind w:left="-426"/>
        <w:contextualSpacing/>
        <w:jc w:val="both"/>
        <w:rPr>
          <w:rFonts w:ascii="Arial" w:hAnsi="Arial" w:cs="Arial"/>
          <w:sz w:val="24"/>
        </w:rPr>
      </w:pPr>
      <w:r w:rsidRPr="001C3A18">
        <w:rPr>
          <w:rFonts w:ascii="Arial" w:hAnsi="Arial" w:cs="Arial"/>
          <w:bCs/>
          <w:sz w:val="24"/>
        </w:rPr>
        <w:t>In May 2020, eight patients were treated after day 104; referred between day 92 and 153 to CCC. One patient was not treated within twenty-four days by CCC as</w:t>
      </w:r>
      <w:r w:rsidRPr="001C3A18">
        <w:rPr>
          <w:rFonts w:ascii="Arial" w:hAnsi="Arial" w:cs="Arial"/>
          <w:sz w:val="24"/>
        </w:rPr>
        <w:t xml:space="preserve"> </w:t>
      </w:r>
      <w:r w:rsidR="00B26435" w:rsidRPr="001C3A18">
        <w:rPr>
          <w:rFonts w:ascii="Arial" w:hAnsi="Arial" w:cs="Arial"/>
          <w:sz w:val="24"/>
        </w:rPr>
        <w:t xml:space="preserve">there was a </w:t>
      </w:r>
      <w:r w:rsidRPr="001C3A18">
        <w:rPr>
          <w:rFonts w:ascii="Arial" w:hAnsi="Arial" w:cs="Arial"/>
          <w:sz w:val="24"/>
        </w:rPr>
        <w:t>delay to first appointment due to Lung consultant availability</w:t>
      </w:r>
      <w:r w:rsidR="00B26435" w:rsidRPr="001C3A18">
        <w:rPr>
          <w:rFonts w:ascii="Arial" w:hAnsi="Arial" w:cs="Arial"/>
          <w:sz w:val="24"/>
        </w:rPr>
        <w:t>.</w:t>
      </w:r>
      <w:r w:rsidR="00EE7745" w:rsidRPr="001C3A18">
        <w:rPr>
          <w:rFonts w:ascii="Arial" w:hAnsi="Arial" w:cs="Arial"/>
          <w:sz w:val="24"/>
        </w:rPr>
        <w:t xml:space="preserve"> </w:t>
      </w:r>
      <w:r w:rsidR="00F12D18" w:rsidRPr="001C3A18">
        <w:rPr>
          <w:rFonts w:ascii="Arial" w:hAnsi="Arial" w:cs="Arial"/>
          <w:sz w:val="24"/>
        </w:rPr>
        <w:t xml:space="preserve">Harm reviews are conducted at CCC for all patients treated on or after day 104 who were not treated within 24 days </w:t>
      </w:r>
      <w:r w:rsidR="00EE7745" w:rsidRPr="001C3A18">
        <w:rPr>
          <w:rFonts w:ascii="Arial" w:hAnsi="Arial" w:cs="Arial"/>
          <w:sz w:val="24"/>
        </w:rPr>
        <w:t>at CCC</w:t>
      </w:r>
      <w:r w:rsidR="00F12D18" w:rsidRPr="001C3A18">
        <w:rPr>
          <w:rFonts w:ascii="Arial" w:hAnsi="Arial" w:cs="Arial"/>
          <w:sz w:val="24"/>
        </w:rPr>
        <w:t>.</w:t>
      </w:r>
    </w:p>
    <w:p w:rsidR="009B601A" w:rsidRPr="001C3A18" w:rsidRDefault="009B601A" w:rsidP="009B601A">
      <w:pPr>
        <w:spacing w:after="0" w:line="240" w:lineRule="auto"/>
        <w:jc w:val="both"/>
        <w:rPr>
          <w:rFonts w:ascii="Arial" w:hAnsi="Arial" w:cs="Arial"/>
          <w:bCs/>
          <w:color w:val="000000" w:themeColor="text1"/>
          <w:sz w:val="24"/>
        </w:rPr>
      </w:pPr>
    </w:p>
    <w:p w:rsidR="009B601A" w:rsidRPr="001C3A18" w:rsidRDefault="009B601A" w:rsidP="009B601A">
      <w:pPr>
        <w:spacing w:after="0" w:line="240" w:lineRule="auto"/>
        <w:ind w:left="-426"/>
        <w:contextualSpacing/>
        <w:jc w:val="both"/>
        <w:rPr>
          <w:rFonts w:ascii="Arial" w:hAnsi="Arial" w:cs="Arial"/>
          <w:b/>
          <w:bCs/>
          <w:sz w:val="24"/>
        </w:rPr>
      </w:pPr>
      <w:r w:rsidRPr="001C3A18">
        <w:rPr>
          <w:rFonts w:ascii="Arial" w:hAnsi="Arial" w:cs="Arial"/>
          <w:b/>
          <w:bCs/>
          <w:sz w:val="24"/>
        </w:rPr>
        <w:t>Cancer Waiting Times Improvement Plan:</w:t>
      </w:r>
    </w:p>
    <w:p w:rsidR="009B601A" w:rsidRPr="00C52760" w:rsidRDefault="009B601A" w:rsidP="009B601A">
      <w:pPr>
        <w:spacing w:after="0" w:line="240" w:lineRule="auto"/>
        <w:ind w:left="-426"/>
        <w:contextualSpacing/>
        <w:jc w:val="both"/>
        <w:rPr>
          <w:rFonts w:ascii="Arial" w:hAnsi="Arial" w:cs="Arial"/>
          <w:bCs/>
          <w:sz w:val="16"/>
          <w:szCs w:val="16"/>
        </w:rPr>
      </w:pPr>
    </w:p>
    <w:p w:rsidR="009B601A" w:rsidRPr="001C3A18" w:rsidRDefault="009B601A" w:rsidP="009B601A">
      <w:pPr>
        <w:spacing w:after="0" w:line="240" w:lineRule="auto"/>
        <w:ind w:left="-426"/>
        <w:contextualSpacing/>
        <w:jc w:val="both"/>
        <w:rPr>
          <w:rFonts w:ascii="Arial" w:hAnsi="Arial" w:cs="Arial"/>
          <w:bCs/>
          <w:sz w:val="24"/>
        </w:rPr>
      </w:pPr>
      <w:r w:rsidRPr="001C3A18">
        <w:rPr>
          <w:rFonts w:ascii="Arial" w:hAnsi="Arial" w:cs="Arial"/>
          <w:bCs/>
          <w:sz w:val="24"/>
        </w:rPr>
        <w:t>Key actions are underway as part of the Improvement Plan including</w:t>
      </w:r>
      <w:r w:rsidR="00B26435" w:rsidRPr="001C3A18">
        <w:rPr>
          <w:rFonts w:ascii="Arial" w:hAnsi="Arial" w:cs="Arial"/>
          <w:bCs/>
          <w:sz w:val="24"/>
        </w:rPr>
        <w:t>:</w:t>
      </w:r>
    </w:p>
    <w:p w:rsidR="009B601A" w:rsidRPr="001C3A18" w:rsidRDefault="009B601A" w:rsidP="009B601A">
      <w:pPr>
        <w:spacing w:after="0" w:line="240" w:lineRule="auto"/>
        <w:ind w:left="-426"/>
        <w:contextualSpacing/>
        <w:jc w:val="both"/>
        <w:rPr>
          <w:rFonts w:ascii="Arial" w:hAnsi="Arial" w:cs="Arial"/>
          <w:bCs/>
          <w:sz w:val="24"/>
        </w:rPr>
      </w:pPr>
    </w:p>
    <w:p w:rsidR="009B601A" w:rsidRPr="001C3A18" w:rsidRDefault="009B601A" w:rsidP="0012109F">
      <w:pPr>
        <w:pStyle w:val="ListParagraph"/>
        <w:numPr>
          <w:ilvl w:val="0"/>
          <w:numId w:val="31"/>
        </w:numPr>
        <w:spacing w:after="0" w:line="240" w:lineRule="auto"/>
        <w:ind w:left="-142" w:hanging="284"/>
        <w:jc w:val="both"/>
        <w:rPr>
          <w:rFonts w:ascii="Arial" w:hAnsi="Arial" w:cs="Arial"/>
          <w:bCs/>
          <w:sz w:val="24"/>
        </w:rPr>
      </w:pPr>
      <w:r w:rsidRPr="001C3A18">
        <w:rPr>
          <w:rFonts w:ascii="Arial" w:hAnsi="Arial" w:cs="Arial"/>
          <w:sz w:val="24"/>
        </w:rPr>
        <w:t>Review of process for lung referral triage</w:t>
      </w:r>
    </w:p>
    <w:p w:rsidR="00C00C77" w:rsidRPr="001C3A18" w:rsidRDefault="00D923BD" w:rsidP="0012109F">
      <w:pPr>
        <w:pStyle w:val="ListParagraph"/>
        <w:numPr>
          <w:ilvl w:val="0"/>
          <w:numId w:val="31"/>
        </w:numPr>
        <w:spacing w:after="0" w:line="240" w:lineRule="auto"/>
        <w:ind w:left="-142" w:hanging="284"/>
        <w:jc w:val="both"/>
        <w:rPr>
          <w:rFonts w:ascii="Arial" w:hAnsi="Arial" w:cs="Arial"/>
          <w:sz w:val="28"/>
          <w:szCs w:val="24"/>
        </w:rPr>
      </w:pPr>
      <w:r w:rsidRPr="001C3A18">
        <w:rPr>
          <w:rFonts w:ascii="Arial" w:hAnsi="Arial" w:cs="Arial"/>
          <w:bCs/>
          <w:sz w:val="24"/>
        </w:rPr>
        <w:t xml:space="preserve">The HO service have reviewed processes and developed an action plan for managing the diagnostic pathway. This plan will be reviewed at the CWT Target Operational Group on 19th June 2020. </w:t>
      </w:r>
    </w:p>
    <w:p w:rsidR="00D923BD" w:rsidRPr="001C3A18" w:rsidRDefault="00D923BD" w:rsidP="00D923BD">
      <w:pPr>
        <w:spacing w:after="0" w:line="240" w:lineRule="auto"/>
        <w:jc w:val="both"/>
        <w:rPr>
          <w:rFonts w:ascii="Arial" w:hAnsi="Arial" w:cs="Arial"/>
          <w:sz w:val="28"/>
          <w:szCs w:val="24"/>
        </w:rPr>
      </w:pPr>
    </w:p>
    <w:p w:rsidR="0085699D" w:rsidRPr="00EC19F3" w:rsidRDefault="0085699D" w:rsidP="00613564">
      <w:pPr>
        <w:spacing w:after="0" w:line="240" w:lineRule="auto"/>
        <w:ind w:left="-426"/>
        <w:rPr>
          <w:rFonts w:ascii="Arial" w:hAnsi="Arial" w:cs="Arial"/>
          <w:sz w:val="24"/>
          <w:szCs w:val="24"/>
          <w:highlight w:val="yellow"/>
        </w:rPr>
      </w:pPr>
    </w:p>
    <w:p w:rsidR="00263769" w:rsidRPr="00C00C77" w:rsidRDefault="00263769" w:rsidP="00263769">
      <w:pPr>
        <w:autoSpaceDE w:val="0"/>
        <w:autoSpaceDN w:val="0"/>
        <w:adjustRightInd w:val="0"/>
        <w:spacing w:after="0" w:line="240" w:lineRule="auto"/>
        <w:ind w:left="-426"/>
        <w:jc w:val="both"/>
        <w:rPr>
          <w:rFonts w:ascii="Arial" w:eastAsia="Calibri" w:hAnsi="Arial" w:cs="Arial"/>
          <w:b/>
          <w:bCs/>
          <w:sz w:val="32"/>
          <w:szCs w:val="24"/>
        </w:rPr>
      </w:pPr>
      <w:r w:rsidRPr="00C00C77">
        <w:rPr>
          <w:rFonts w:ascii="Arial" w:eastAsia="Calibri" w:hAnsi="Arial" w:cs="Arial"/>
          <w:b/>
          <w:bCs/>
          <w:sz w:val="32"/>
          <w:szCs w:val="24"/>
        </w:rPr>
        <w:t>3.2 Efficiency</w:t>
      </w:r>
    </w:p>
    <w:p w:rsidR="00263769" w:rsidRPr="00C00C77" w:rsidRDefault="00263769" w:rsidP="00613564">
      <w:pPr>
        <w:spacing w:after="0" w:line="240" w:lineRule="auto"/>
        <w:ind w:left="-426"/>
        <w:rPr>
          <w:rFonts w:ascii="Arial" w:hAnsi="Arial" w:cs="Arial"/>
          <w:sz w:val="24"/>
          <w:szCs w:val="24"/>
        </w:rPr>
      </w:pPr>
    </w:p>
    <w:tbl>
      <w:tblPr>
        <w:tblW w:w="10322" w:type="dxa"/>
        <w:tblInd w:w="-318" w:type="dxa"/>
        <w:tblBorders>
          <w:top w:val="single" w:sz="12" w:space="0" w:color="4F6228" w:themeColor="accent3" w:themeShade="80"/>
          <w:left w:val="single" w:sz="12" w:space="0" w:color="4F6228" w:themeColor="accent3" w:themeShade="80"/>
          <w:bottom w:val="single" w:sz="12" w:space="0" w:color="4F6228" w:themeColor="accent3" w:themeShade="80"/>
          <w:right w:val="single" w:sz="12" w:space="0" w:color="4F6228" w:themeColor="accent3" w:themeShade="80"/>
        </w:tblBorders>
        <w:shd w:val="clear" w:color="auto" w:fill="FFFFFF" w:themeFill="background1"/>
        <w:tblLook w:val="04A0" w:firstRow="1" w:lastRow="0" w:firstColumn="1" w:lastColumn="0" w:noHBand="0" w:noVBand="1"/>
      </w:tblPr>
      <w:tblGrid>
        <w:gridCol w:w="10322"/>
      </w:tblGrid>
      <w:tr w:rsidR="00AD2A89" w:rsidRPr="00C00C77" w:rsidTr="00864E08">
        <w:trPr>
          <w:trHeight w:hRule="exact" w:val="416"/>
        </w:trPr>
        <w:tc>
          <w:tcPr>
            <w:tcW w:w="10322" w:type="dxa"/>
            <w:shd w:val="clear" w:color="auto" w:fill="8DC63F"/>
          </w:tcPr>
          <w:p w:rsidR="00AD2A89" w:rsidRPr="00C00C77" w:rsidRDefault="0090139D" w:rsidP="00A45AA3">
            <w:pPr>
              <w:spacing w:before="40" w:after="40" w:line="240" w:lineRule="auto"/>
              <w:ind w:left="-108"/>
              <w:rPr>
                <w:rFonts w:ascii="Arial" w:hAnsi="Arial" w:cs="Arial"/>
                <w:b/>
                <w:bCs/>
                <w:sz w:val="24"/>
                <w:szCs w:val="24"/>
              </w:rPr>
            </w:pPr>
            <w:r w:rsidRPr="00C00C77">
              <w:rPr>
                <w:rFonts w:ascii="Arial" w:hAnsi="Arial" w:cs="Arial"/>
                <w:b/>
                <w:bCs/>
                <w:sz w:val="24"/>
                <w:szCs w:val="24"/>
              </w:rPr>
              <w:t xml:space="preserve"> </w:t>
            </w:r>
            <w:r w:rsidR="00263769" w:rsidRPr="00C00C77">
              <w:rPr>
                <w:rFonts w:ascii="Arial" w:hAnsi="Arial" w:cs="Arial"/>
                <w:b/>
                <w:bCs/>
                <w:sz w:val="24"/>
                <w:szCs w:val="24"/>
              </w:rPr>
              <w:t>3.2.1</w:t>
            </w:r>
            <w:r w:rsidR="00AD2A89" w:rsidRPr="00C00C77">
              <w:rPr>
                <w:rFonts w:ascii="Arial" w:hAnsi="Arial" w:cs="Arial"/>
                <w:b/>
                <w:bCs/>
                <w:sz w:val="24"/>
                <w:szCs w:val="24"/>
              </w:rPr>
              <w:t xml:space="preserve"> Inpatient Flow</w:t>
            </w:r>
          </w:p>
        </w:tc>
      </w:tr>
    </w:tbl>
    <w:p w:rsidR="00921099" w:rsidRPr="00C00C77" w:rsidRDefault="00921099" w:rsidP="003B7C91">
      <w:pPr>
        <w:spacing w:after="0" w:line="240" w:lineRule="auto"/>
        <w:ind w:left="-426"/>
        <w:jc w:val="both"/>
        <w:rPr>
          <w:rFonts w:ascii="Arial" w:hAnsi="Arial" w:cs="Arial"/>
          <w:sz w:val="2"/>
          <w:szCs w:val="24"/>
        </w:rPr>
      </w:pPr>
    </w:p>
    <w:p w:rsidR="00921099" w:rsidRPr="00C00C77" w:rsidRDefault="00921099" w:rsidP="003B7C91">
      <w:pPr>
        <w:spacing w:after="0" w:line="240" w:lineRule="auto"/>
        <w:ind w:left="-426"/>
        <w:jc w:val="both"/>
        <w:rPr>
          <w:rFonts w:ascii="Arial" w:hAnsi="Arial" w:cs="Arial"/>
          <w:sz w:val="2"/>
          <w:szCs w:val="24"/>
        </w:rPr>
      </w:pPr>
    </w:p>
    <w:p w:rsidR="004A5464" w:rsidRPr="00C00C77" w:rsidRDefault="004A5464" w:rsidP="003B7C91">
      <w:pPr>
        <w:spacing w:after="0" w:line="240" w:lineRule="auto"/>
        <w:ind w:left="-426"/>
        <w:jc w:val="both"/>
        <w:rPr>
          <w:rFonts w:ascii="Arial" w:hAnsi="Arial" w:cs="Arial"/>
        </w:rPr>
      </w:pPr>
    </w:p>
    <w:p w:rsidR="00D07020" w:rsidRDefault="00D07020" w:rsidP="00D07020">
      <w:pPr>
        <w:spacing w:after="0" w:line="240" w:lineRule="auto"/>
        <w:ind w:left="-426"/>
        <w:jc w:val="both"/>
        <w:rPr>
          <w:rFonts w:ascii="Arial" w:hAnsi="Arial" w:cs="Arial"/>
          <w:b/>
          <w:sz w:val="24"/>
          <w:szCs w:val="24"/>
        </w:rPr>
      </w:pPr>
      <w:r w:rsidRPr="00C00C77">
        <w:rPr>
          <w:rFonts w:ascii="Arial" w:hAnsi="Arial" w:cs="Arial"/>
          <w:b/>
          <w:sz w:val="24"/>
          <w:szCs w:val="24"/>
        </w:rPr>
        <w:t>Length of Stay</w:t>
      </w:r>
      <w:r w:rsidR="00124391">
        <w:rPr>
          <w:rFonts w:ascii="Arial" w:hAnsi="Arial" w:cs="Arial"/>
          <w:b/>
          <w:sz w:val="24"/>
          <w:szCs w:val="24"/>
        </w:rPr>
        <w:t xml:space="preserve"> (LoS)</w:t>
      </w:r>
      <w:r w:rsidRPr="00C00C77">
        <w:rPr>
          <w:rFonts w:ascii="Arial" w:hAnsi="Arial" w:cs="Arial"/>
          <w:b/>
          <w:sz w:val="24"/>
          <w:szCs w:val="24"/>
        </w:rPr>
        <w:t xml:space="preserve">:  Wirral </w:t>
      </w:r>
      <w:r w:rsidR="004B00BF" w:rsidRPr="00C00C77">
        <w:rPr>
          <w:rFonts w:ascii="Arial" w:hAnsi="Arial" w:cs="Arial"/>
          <w:b/>
          <w:sz w:val="24"/>
          <w:szCs w:val="24"/>
        </w:rPr>
        <w:t>Wards</w:t>
      </w:r>
    </w:p>
    <w:p w:rsidR="00C00C77" w:rsidRDefault="00C00C77" w:rsidP="00D07020">
      <w:pPr>
        <w:spacing w:after="0" w:line="240" w:lineRule="auto"/>
        <w:ind w:left="-426"/>
        <w:jc w:val="both"/>
        <w:rPr>
          <w:rFonts w:ascii="Arial" w:hAnsi="Arial" w:cs="Arial"/>
          <w:b/>
          <w:sz w:val="24"/>
          <w:szCs w:val="24"/>
        </w:rPr>
      </w:pPr>
    </w:p>
    <w:p w:rsidR="00864E08" w:rsidRDefault="00864E08" w:rsidP="00D07020">
      <w:pPr>
        <w:spacing w:after="0" w:line="240" w:lineRule="auto"/>
        <w:ind w:left="-426"/>
        <w:jc w:val="both"/>
        <w:rPr>
          <w:rFonts w:ascii="Arial" w:hAnsi="Arial" w:cs="Arial"/>
          <w:sz w:val="24"/>
          <w:szCs w:val="24"/>
        </w:rPr>
      </w:pPr>
      <w:r w:rsidRPr="00C00C77">
        <w:rPr>
          <w:rFonts w:ascii="Arial" w:hAnsi="Arial" w:cs="Arial"/>
          <w:sz w:val="24"/>
          <w:szCs w:val="24"/>
        </w:rPr>
        <w:t>This chart shows the elective and non-elective LoS for Wirral wards agai</w:t>
      </w:r>
      <w:r w:rsidR="00577999" w:rsidRPr="00C00C77">
        <w:rPr>
          <w:rFonts w:ascii="Arial" w:hAnsi="Arial" w:cs="Arial"/>
          <w:sz w:val="24"/>
          <w:szCs w:val="24"/>
        </w:rPr>
        <w:t>nst the targets:</w:t>
      </w:r>
    </w:p>
    <w:p w:rsidR="00896A2E" w:rsidRDefault="00896A2E" w:rsidP="00D07020">
      <w:pPr>
        <w:spacing w:after="0" w:line="240" w:lineRule="auto"/>
        <w:ind w:left="-426"/>
        <w:jc w:val="both"/>
        <w:rPr>
          <w:rFonts w:ascii="Arial" w:hAnsi="Arial" w:cs="Arial"/>
          <w:sz w:val="24"/>
          <w:szCs w:val="24"/>
        </w:rPr>
      </w:pPr>
    </w:p>
    <w:p w:rsidR="00896A2E" w:rsidRPr="00C00C77" w:rsidRDefault="00896A2E" w:rsidP="00D07020">
      <w:pPr>
        <w:spacing w:after="0" w:line="240" w:lineRule="auto"/>
        <w:ind w:left="-426"/>
        <w:jc w:val="both"/>
        <w:rPr>
          <w:rFonts w:ascii="Arial" w:hAnsi="Arial" w:cs="Arial"/>
          <w:sz w:val="24"/>
          <w:szCs w:val="24"/>
        </w:rPr>
      </w:pPr>
      <w:r>
        <w:rPr>
          <w:rFonts w:ascii="Arial" w:hAnsi="Arial" w:cs="Arial"/>
          <w:noProof/>
          <w:sz w:val="24"/>
          <w:szCs w:val="24"/>
          <w:lang w:eastAsia="en-GB"/>
        </w:rPr>
        <w:drawing>
          <wp:inline distT="0" distB="0" distL="0" distR="0" wp14:anchorId="3F27441C">
            <wp:extent cx="6160577" cy="2030278"/>
            <wp:effectExtent l="0" t="0" r="0" b="825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171443" cy="2033859"/>
                    </a:xfrm>
                    <a:prstGeom prst="rect">
                      <a:avLst/>
                    </a:prstGeom>
                    <a:noFill/>
                  </pic:spPr>
                </pic:pic>
              </a:graphicData>
            </a:graphic>
          </wp:inline>
        </w:drawing>
      </w:r>
    </w:p>
    <w:p w:rsidR="00577999" w:rsidRPr="00EC19F3" w:rsidRDefault="00577999" w:rsidP="00D07020">
      <w:pPr>
        <w:spacing w:after="0" w:line="240" w:lineRule="auto"/>
        <w:ind w:left="-426"/>
        <w:jc w:val="both"/>
        <w:rPr>
          <w:rFonts w:ascii="Arial" w:hAnsi="Arial" w:cs="Arial"/>
          <w:sz w:val="24"/>
          <w:szCs w:val="24"/>
          <w:highlight w:val="yellow"/>
        </w:rPr>
      </w:pPr>
    </w:p>
    <w:p w:rsidR="00C00C77" w:rsidRPr="000507E0" w:rsidRDefault="00C00C77" w:rsidP="00C00C77">
      <w:pPr>
        <w:spacing w:after="0" w:line="240" w:lineRule="auto"/>
        <w:ind w:left="-426"/>
        <w:jc w:val="both"/>
        <w:rPr>
          <w:rFonts w:ascii="Arial" w:hAnsi="Arial" w:cs="Arial"/>
          <w:sz w:val="24"/>
          <w:szCs w:val="24"/>
        </w:rPr>
      </w:pPr>
      <w:r w:rsidRPr="000507E0">
        <w:rPr>
          <w:rFonts w:ascii="Arial" w:hAnsi="Arial" w:cs="Arial"/>
          <w:b/>
          <w:sz w:val="24"/>
          <w:szCs w:val="24"/>
        </w:rPr>
        <w:t>The trust target for non-elective LoS is 8 days</w:t>
      </w:r>
      <w:r w:rsidRPr="000507E0">
        <w:rPr>
          <w:rFonts w:ascii="Arial" w:hAnsi="Arial" w:cs="Arial"/>
          <w:sz w:val="24"/>
          <w:szCs w:val="24"/>
        </w:rPr>
        <w:t>.</w:t>
      </w:r>
    </w:p>
    <w:p w:rsidR="00C00C77" w:rsidRPr="000507E0" w:rsidRDefault="00C00C77" w:rsidP="0012109F">
      <w:pPr>
        <w:pStyle w:val="ListParagraph"/>
        <w:numPr>
          <w:ilvl w:val="0"/>
          <w:numId w:val="22"/>
        </w:numPr>
        <w:spacing w:after="0" w:line="240" w:lineRule="auto"/>
        <w:ind w:left="-142" w:hanging="284"/>
        <w:jc w:val="both"/>
        <w:rPr>
          <w:rFonts w:ascii="Arial" w:hAnsi="Arial" w:cs="Arial"/>
          <w:sz w:val="24"/>
          <w:szCs w:val="24"/>
        </w:rPr>
      </w:pPr>
      <w:r>
        <w:rPr>
          <w:rFonts w:ascii="Arial" w:hAnsi="Arial" w:cs="Arial"/>
          <w:sz w:val="24"/>
          <w:szCs w:val="24"/>
        </w:rPr>
        <w:t>N</w:t>
      </w:r>
      <w:r w:rsidRPr="000507E0">
        <w:rPr>
          <w:rFonts w:ascii="Arial" w:hAnsi="Arial" w:cs="Arial"/>
          <w:sz w:val="24"/>
          <w:szCs w:val="24"/>
        </w:rPr>
        <w:t xml:space="preserve">on-elective LoS for May is on target at 4.65 days. </w:t>
      </w:r>
    </w:p>
    <w:p w:rsidR="00C00C77" w:rsidRPr="000507E0" w:rsidRDefault="00C00C77" w:rsidP="00C00C77">
      <w:pPr>
        <w:spacing w:after="0" w:line="240" w:lineRule="auto"/>
        <w:ind w:left="-426"/>
        <w:jc w:val="both"/>
        <w:rPr>
          <w:rFonts w:ascii="Arial" w:hAnsi="Arial" w:cs="Arial"/>
          <w:sz w:val="24"/>
          <w:szCs w:val="24"/>
        </w:rPr>
      </w:pPr>
    </w:p>
    <w:p w:rsidR="00C00C77" w:rsidRPr="000507E0" w:rsidRDefault="00C00C77" w:rsidP="00C00C77">
      <w:pPr>
        <w:spacing w:after="0" w:line="240" w:lineRule="auto"/>
        <w:ind w:left="-426"/>
        <w:jc w:val="both"/>
        <w:rPr>
          <w:rFonts w:ascii="Arial" w:hAnsi="Arial" w:cs="Arial"/>
          <w:b/>
          <w:sz w:val="24"/>
          <w:szCs w:val="24"/>
        </w:rPr>
      </w:pPr>
      <w:r w:rsidRPr="000507E0">
        <w:rPr>
          <w:rFonts w:ascii="Arial" w:hAnsi="Arial" w:cs="Arial"/>
          <w:b/>
          <w:sz w:val="24"/>
          <w:szCs w:val="24"/>
        </w:rPr>
        <w:t>The trust target for elective LoS is 6.5 days.</w:t>
      </w:r>
    </w:p>
    <w:p w:rsidR="00C00C77" w:rsidRPr="000507E0" w:rsidRDefault="00C00C77" w:rsidP="0012109F">
      <w:pPr>
        <w:pStyle w:val="ListParagraph"/>
        <w:numPr>
          <w:ilvl w:val="0"/>
          <w:numId w:val="22"/>
        </w:numPr>
        <w:spacing w:after="0" w:line="240" w:lineRule="auto"/>
        <w:ind w:left="-142" w:hanging="284"/>
        <w:jc w:val="both"/>
        <w:rPr>
          <w:rFonts w:ascii="Arial" w:hAnsi="Arial" w:cs="Arial"/>
          <w:sz w:val="24"/>
          <w:szCs w:val="24"/>
        </w:rPr>
      </w:pPr>
      <w:r>
        <w:rPr>
          <w:rFonts w:ascii="Arial" w:hAnsi="Arial" w:cs="Arial"/>
          <w:sz w:val="24"/>
          <w:szCs w:val="24"/>
        </w:rPr>
        <w:t xml:space="preserve">Elective </w:t>
      </w:r>
      <w:r w:rsidRPr="000507E0">
        <w:rPr>
          <w:rFonts w:ascii="Arial" w:hAnsi="Arial" w:cs="Arial"/>
          <w:sz w:val="24"/>
          <w:szCs w:val="24"/>
        </w:rPr>
        <w:t xml:space="preserve">LoS for May 2020 is on target at 2.85 days. </w:t>
      </w:r>
    </w:p>
    <w:p w:rsidR="00C00C77" w:rsidRDefault="00C00C77" w:rsidP="00C00C77">
      <w:pPr>
        <w:spacing w:after="0" w:line="240" w:lineRule="auto"/>
        <w:ind w:left="-426"/>
        <w:jc w:val="both"/>
        <w:rPr>
          <w:rFonts w:ascii="Arial" w:hAnsi="Arial" w:cs="Arial"/>
          <w:sz w:val="28"/>
          <w:szCs w:val="28"/>
        </w:rPr>
      </w:pPr>
    </w:p>
    <w:p w:rsidR="00C00C77" w:rsidRPr="00993E13" w:rsidRDefault="00C00C77" w:rsidP="00C00C77">
      <w:pPr>
        <w:spacing w:after="0" w:line="240" w:lineRule="auto"/>
        <w:ind w:left="-426"/>
        <w:jc w:val="both"/>
        <w:rPr>
          <w:rFonts w:ascii="Arial" w:hAnsi="Arial" w:cs="Arial"/>
          <w:b/>
          <w:sz w:val="24"/>
          <w:szCs w:val="24"/>
        </w:rPr>
      </w:pPr>
      <w:r w:rsidRPr="00993E13">
        <w:rPr>
          <w:rFonts w:ascii="Arial" w:hAnsi="Arial" w:cs="Arial"/>
          <w:b/>
          <w:sz w:val="24"/>
          <w:szCs w:val="24"/>
        </w:rPr>
        <w:t>LoS and Clinical Utilisation Review data</w:t>
      </w:r>
    </w:p>
    <w:p w:rsidR="00C00C77" w:rsidRDefault="00C00C77" w:rsidP="0012109F">
      <w:pPr>
        <w:pStyle w:val="ListParagraph"/>
        <w:numPr>
          <w:ilvl w:val="0"/>
          <w:numId w:val="22"/>
        </w:numPr>
        <w:spacing w:after="0" w:line="240" w:lineRule="auto"/>
        <w:ind w:left="-142" w:hanging="284"/>
        <w:jc w:val="both"/>
        <w:rPr>
          <w:rFonts w:ascii="Arial" w:hAnsi="Arial" w:cs="Arial"/>
          <w:sz w:val="24"/>
          <w:szCs w:val="24"/>
        </w:rPr>
      </w:pPr>
      <w:r w:rsidRPr="00993E13">
        <w:rPr>
          <w:rFonts w:ascii="Arial" w:hAnsi="Arial" w:cs="Arial"/>
          <w:sz w:val="24"/>
          <w:szCs w:val="24"/>
        </w:rPr>
        <w:t xml:space="preserve">LoS is on target and is reflected by a </w:t>
      </w:r>
      <w:r w:rsidR="00C87EEF">
        <w:rPr>
          <w:rFonts w:ascii="Arial" w:hAnsi="Arial" w:cs="Arial"/>
          <w:sz w:val="24"/>
          <w:szCs w:val="24"/>
        </w:rPr>
        <w:t>Clinical Utilisation review (</w:t>
      </w:r>
      <w:r w:rsidRPr="00993E13">
        <w:rPr>
          <w:rFonts w:ascii="Arial" w:hAnsi="Arial" w:cs="Arial"/>
          <w:sz w:val="24"/>
          <w:szCs w:val="24"/>
        </w:rPr>
        <w:t>CUR</w:t>
      </w:r>
      <w:r w:rsidR="00C87EEF">
        <w:rPr>
          <w:rFonts w:ascii="Arial" w:hAnsi="Arial" w:cs="Arial"/>
          <w:sz w:val="24"/>
          <w:szCs w:val="24"/>
        </w:rPr>
        <w:t>)</w:t>
      </w:r>
      <w:r w:rsidRPr="00993E13">
        <w:rPr>
          <w:rFonts w:ascii="Arial" w:hAnsi="Arial" w:cs="Arial"/>
          <w:sz w:val="24"/>
          <w:szCs w:val="24"/>
        </w:rPr>
        <w:t xml:space="preserve"> non-qualifying</w:t>
      </w:r>
      <w:r w:rsidR="00B26435">
        <w:rPr>
          <w:rFonts w:ascii="Arial" w:hAnsi="Arial" w:cs="Arial"/>
          <w:sz w:val="24"/>
          <w:szCs w:val="24"/>
        </w:rPr>
        <w:t xml:space="preserve"> (NQ)</w:t>
      </w:r>
      <w:r w:rsidRPr="00993E13">
        <w:rPr>
          <w:rFonts w:ascii="Arial" w:hAnsi="Arial" w:cs="Arial"/>
          <w:sz w:val="24"/>
          <w:szCs w:val="24"/>
        </w:rPr>
        <w:t xml:space="preserve"> rate of 1% (i.e. appropriate placement of patients at CCC, supported by very few delays).  </w:t>
      </w:r>
    </w:p>
    <w:p w:rsidR="00C00C77" w:rsidRDefault="00C00C77" w:rsidP="0012109F">
      <w:pPr>
        <w:pStyle w:val="ListParagraph"/>
        <w:numPr>
          <w:ilvl w:val="0"/>
          <w:numId w:val="22"/>
        </w:numPr>
        <w:spacing w:after="0" w:line="240" w:lineRule="auto"/>
        <w:ind w:left="-142" w:hanging="284"/>
        <w:jc w:val="both"/>
        <w:rPr>
          <w:rFonts w:ascii="Arial" w:hAnsi="Arial" w:cs="Arial"/>
          <w:sz w:val="24"/>
          <w:szCs w:val="24"/>
        </w:rPr>
      </w:pPr>
      <w:r w:rsidRPr="00993E13">
        <w:rPr>
          <w:rFonts w:ascii="Arial" w:hAnsi="Arial" w:cs="Arial"/>
          <w:sz w:val="24"/>
          <w:szCs w:val="24"/>
        </w:rPr>
        <w:t xml:space="preserve">CUR NQ rate has been 1% for 2 months running now, the lowest the Trust has ever had.  </w:t>
      </w:r>
    </w:p>
    <w:p w:rsidR="00C00C77" w:rsidRDefault="00C00C77" w:rsidP="0012109F">
      <w:pPr>
        <w:pStyle w:val="ListParagraph"/>
        <w:numPr>
          <w:ilvl w:val="0"/>
          <w:numId w:val="22"/>
        </w:numPr>
        <w:spacing w:after="0" w:line="240" w:lineRule="auto"/>
        <w:ind w:left="-142" w:hanging="284"/>
        <w:jc w:val="both"/>
        <w:rPr>
          <w:rFonts w:ascii="Arial" w:hAnsi="Arial" w:cs="Arial"/>
          <w:sz w:val="24"/>
          <w:szCs w:val="24"/>
        </w:rPr>
      </w:pPr>
      <w:r>
        <w:rPr>
          <w:rFonts w:ascii="Arial" w:hAnsi="Arial" w:cs="Arial"/>
          <w:sz w:val="24"/>
          <w:szCs w:val="24"/>
        </w:rPr>
        <w:t>C</w:t>
      </w:r>
      <w:r w:rsidRPr="00993E13">
        <w:rPr>
          <w:rFonts w:ascii="Arial" w:hAnsi="Arial" w:cs="Arial"/>
          <w:sz w:val="24"/>
          <w:szCs w:val="24"/>
        </w:rPr>
        <w:t>UR external reporting is no longer required</w:t>
      </w:r>
      <w:r>
        <w:rPr>
          <w:rFonts w:ascii="Arial" w:hAnsi="Arial" w:cs="Arial"/>
          <w:sz w:val="24"/>
          <w:szCs w:val="24"/>
        </w:rPr>
        <w:t>, however,</w:t>
      </w:r>
      <w:r w:rsidRPr="00993E13">
        <w:rPr>
          <w:rFonts w:ascii="Arial" w:hAnsi="Arial" w:cs="Arial"/>
          <w:sz w:val="24"/>
          <w:szCs w:val="24"/>
        </w:rPr>
        <w:t xml:space="preserve"> the processes have been embedded and </w:t>
      </w:r>
      <w:r>
        <w:rPr>
          <w:rFonts w:ascii="Arial" w:hAnsi="Arial" w:cs="Arial"/>
          <w:sz w:val="24"/>
          <w:szCs w:val="24"/>
        </w:rPr>
        <w:t xml:space="preserve">the data </w:t>
      </w:r>
      <w:r w:rsidRPr="00993E13">
        <w:rPr>
          <w:rFonts w:ascii="Arial" w:hAnsi="Arial" w:cs="Arial"/>
          <w:sz w:val="24"/>
          <w:szCs w:val="24"/>
        </w:rPr>
        <w:t>continue</w:t>
      </w:r>
      <w:r>
        <w:rPr>
          <w:rFonts w:ascii="Arial" w:hAnsi="Arial" w:cs="Arial"/>
          <w:sz w:val="24"/>
          <w:szCs w:val="24"/>
        </w:rPr>
        <w:t>s</w:t>
      </w:r>
      <w:r w:rsidRPr="00993E13">
        <w:rPr>
          <w:rFonts w:ascii="Arial" w:hAnsi="Arial" w:cs="Arial"/>
          <w:sz w:val="24"/>
          <w:szCs w:val="24"/>
        </w:rPr>
        <w:t xml:space="preserve"> to support and inform</w:t>
      </w:r>
      <w:r>
        <w:rPr>
          <w:rFonts w:ascii="Arial" w:hAnsi="Arial" w:cs="Arial"/>
          <w:sz w:val="24"/>
          <w:szCs w:val="24"/>
        </w:rPr>
        <w:t xml:space="preserve"> patient flow</w:t>
      </w:r>
      <w:r w:rsidR="00E139B3">
        <w:rPr>
          <w:rFonts w:ascii="Arial" w:hAnsi="Arial" w:cs="Arial"/>
          <w:sz w:val="24"/>
          <w:szCs w:val="24"/>
        </w:rPr>
        <w:t>.</w:t>
      </w:r>
    </w:p>
    <w:p w:rsidR="00C00C77" w:rsidRPr="00993E13" w:rsidRDefault="00E139B3" w:rsidP="0012109F">
      <w:pPr>
        <w:pStyle w:val="ListParagraph"/>
        <w:numPr>
          <w:ilvl w:val="0"/>
          <w:numId w:val="22"/>
        </w:numPr>
        <w:spacing w:after="0" w:line="240" w:lineRule="auto"/>
        <w:ind w:left="-142" w:hanging="284"/>
        <w:jc w:val="both"/>
        <w:rPr>
          <w:rFonts w:ascii="Arial" w:hAnsi="Arial" w:cs="Arial"/>
          <w:sz w:val="24"/>
          <w:szCs w:val="24"/>
        </w:rPr>
      </w:pPr>
      <w:r>
        <w:rPr>
          <w:rFonts w:ascii="Arial" w:hAnsi="Arial" w:cs="Arial"/>
          <w:sz w:val="24"/>
          <w:szCs w:val="24"/>
        </w:rPr>
        <w:lastRenderedPageBreak/>
        <w:t>The daily COW MDT board round</w:t>
      </w:r>
      <w:r w:rsidR="00C00C77" w:rsidRPr="00993E13">
        <w:rPr>
          <w:rFonts w:ascii="Arial" w:hAnsi="Arial" w:cs="Arial"/>
          <w:sz w:val="24"/>
          <w:szCs w:val="24"/>
        </w:rPr>
        <w:t xml:space="preserve"> continues to support </w:t>
      </w:r>
      <w:r w:rsidR="00446676">
        <w:rPr>
          <w:rFonts w:ascii="Arial" w:hAnsi="Arial" w:cs="Arial"/>
          <w:sz w:val="24"/>
          <w:szCs w:val="24"/>
        </w:rPr>
        <w:t xml:space="preserve">appropriate patient flow </w:t>
      </w:r>
      <w:r w:rsidR="00C00C77" w:rsidRPr="00993E13">
        <w:rPr>
          <w:rFonts w:ascii="Arial" w:hAnsi="Arial" w:cs="Arial"/>
          <w:sz w:val="24"/>
          <w:szCs w:val="24"/>
        </w:rPr>
        <w:t>by faci</w:t>
      </w:r>
      <w:r w:rsidR="00446676">
        <w:rPr>
          <w:rFonts w:ascii="Arial" w:hAnsi="Arial" w:cs="Arial"/>
          <w:sz w:val="24"/>
          <w:szCs w:val="24"/>
        </w:rPr>
        <w:t>litating a discussion of all in</w:t>
      </w:r>
      <w:r w:rsidR="00C00C77" w:rsidRPr="00993E13">
        <w:rPr>
          <w:rFonts w:ascii="Arial" w:hAnsi="Arial" w:cs="Arial"/>
          <w:sz w:val="24"/>
          <w:szCs w:val="24"/>
        </w:rPr>
        <w:t xml:space="preserve">patients each morning.  </w:t>
      </w:r>
    </w:p>
    <w:p w:rsidR="00C00C77" w:rsidRPr="00993E13" w:rsidRDefault="00C00C77" w:rsidP="00C00C77">
      <w:pPr>
        <w:spacing w:after="0" w:line="240" w:lineRule="auto"/>
        <w:ind w:left="-426"/>
        <w:jc w:val="both"/>
        <w:rPr>
          <w:rFonts w:ascii="Arial" w:hAnsi="Arial" w:cs="Arial"/>
          <w:b/>
          <w:sz w:val="24"/>
          <w:szCs w:val="24"/>
        </w:rPr>
      </w:pPr>
      <w:r w:rsidRPr="00993E13">
        <w:rPr>
          <w:rFonts w:ascii="Arial" w:hAnsi="Arial" w:cs="Arial"/>
          <w:b/>
          <w:sz w:val="24"/>
          <w:szCs w:val="24"/>
        </w:rPr>
        <w:t>Discharge</w:t>
      </w:r>
      <w:r>
        <w:rPr>
          <w:rFonts w:ascii="Arial" w:hAnsi="Arial" w:cs="Arial"/>
          <w:b/>
          <w:sz w:val="24"/>
          <w:szCs w:val="24"/>
        </w:rPr>
        <w:t xml:space="preserve"> planning:</w:t>
      </w:r>
    </w:p>
    <w:p w:rsidR="00446676" w:rsidRDefault="00C00C77" w:rsidP="0012109F">
      <w:pPr>
        <w:pStyle w:val="ListParagraph"/>
        <w:numPr>
          <w:ilvl w:val="0"/>
          <w:numId w:val="22"/>
        </w:numPr>
        <w:spacing w:after="0" w:line="240" w:lineRule="auto"/>
        <w:ind w:left="-142" w:hanging="284"/>
        <w:jc w:val="both"/>
        <w:rPr>
          <w:rFonts w:ascii="Arial" w:hAnsi="Arial" w:cs="Arial"/>
          <w:sz w:val="24"/>
          <w:szCs w:val="24"/>
        </w:rPr>
      </w:pPr>
      <w:r w:rsidRPr="00446676">
        <w:rPr>
          <w:rFonts w:ascii="Arial" w:hAnsi="Arial" w:cs="Arial"/>
          <w:sz w:val="24"/>
          <w:szCs w:val="24"/>
        </w:rPr>
        <w:t xml:space="preserve">Supported by the wider Multidisciplinary team, complex discharge planning has occurred in line with NHSE guidelines during the Covid-19 pandemic, ensuring patients are </w:t>
      </w:r>
      <w:r w:rsidR="00446676" w:rsidRPr="0012109F">
        <w:rPr>
          <w:rFonts w:ascii="Arial" w:hAnsi="Arial" w:cs="Arial"/>
          <w:sz w:val="24"/>
          <w:szCs w:val="24"/>
        </w:rPr>
        <w:t>discharged safely home or to a suitable care setting</w:t>
      </w:r>
      <w:r w:rsidR="00446676" w:rsidRPr="00446676">
        <w:rPr>
          <w:rFonts w:ascii="Arial" w:hAnsi="Arial" w:cs="Arial"/>
          <w:sz w:val="24"/>
          <w:szCs w:val="24"/>
        </w:rPr>
        <w:t xml:space="preserve"> </w:t>
      </w:r>
    </w:p>
    <w:p w:rsidR="00C00C77" w:rsidRPr="00446676" w:rsidRDefault="00C00C77" w:rsidP="0012109F">
      <w:pPr>
        <w:pStyle w:val="ListParagraph"/>
        <w:numPr>
          <w:ilvl w:val="0"/>
          <w:numId w:val="22"/>
        </w:numPr>
        <w:spacing w:after="0" w:line="240" w:lineRule="auto"/>
        <w:ind w:left="-142" w:hanging="284"/>
        <w:jc w:val="both"/>
        <w:rPr>
          <w:rFonts w:ascii="Arial" w:hAnsi="Arial" w:cs="Arial"/>
          <w:sz w:val="24"/>
          <w:szCs w:val="24"/>
        </w:rPr>
      </w:pPr>
      <w:r w:rsidRPr="00446676">
        <w:rPr>
          <w:rFonts w:ascii="Arial" w:hAnsi="Arial" w:cs="Arial"/>
          <w:sz w:val="24"/>
          <w:szCs w:val="24"/>
        </w:rPr>
        <w:t xml:space="preserve">Complex Discharge Planning meetings are led by </w:t>
      </w:r>
      <w:r w:rsidR="00446676">
        <w:rPr>
          <w:rFonts w:ascii="Arial" w:hAnsi="Arial" w:cs="Arial"/>
          <w:sz w:val="24"/>
          <w:szCs w:val="24"/>
        </w:rPr>
        <w:t xml:space="preserve">the </w:t>
      </w:r>
      <w:r w:rsidRPr="00446676">
        <w:rPr>
          <w:rFonts w:ascii="Arial" w:hAnsi="Arial" w:cs="Arial"/>
          <w:sz w:val="24"/>
          <w:szCs w:val="24"/>
        </w:rPr>
        <w:t xml:space="preserve">Patient Flow Team twice a week with the MDT and Matron to establish any delays early on in </w:t>
      </w:r>
      <w:r w:rsidR="00E139B3" w:rsidRPr="00446676">
        <w:rPr>
          <w:rFonts w:ascii="Arial" w:hAnsi="Arial" w:cs="Arial"/>
          <w:sz w:val="24"/>
          <w:szCs w:val="24"/>
        </w:rPr>
        <w:t xml:space="preserve">a </w:t>
      </w:r>
      <w:r w:rsidRPr="00446676">
        <w:rPr>
          <w:rFonts w:ascii="Arial" w:hAnsi="Arial" w:cs="Arial"/>
          <w:sz w:val="24"/>
          <w:szCs w:val="24"/>
        </w:rPr>
        <w:t xml:space="preserve">patient’s admission. </w:t>
      </w:r>
    </w:p>
    <w:p w:rsidR="00C00C77" w:rsidRPr="00993E13" w:rsidRDefault="00C00C77" w:rsidP="0012109F">
      <w:pPr>
        <w:pStyle w:val="ListParagraph"/>
        <w:numPr>
          <w:ilvl w:val="0"/>
          <w:numId w:val="22"/>
        </w:numPr>
        <w:spacing w:after="0" w:line="240" w:lineRule="auto"/>
        <w:ind w:left="-142" w:hanging="284"/>
        <w:jc w:val="both"/>
        <w:rPr>
          <w:rFonts w:ascii="Arial" w:hAnsi="Arial" w:cs="Arial"/>
          <w:sz w:val="24"/>
          <w:szCs w:val="24"/>
        </w:rPr>
      </w:pPr>
      <w:r w:rsidRPr="00993E13">
        <w:rPr>
          <w:rFonts w:ascii="Arial" w:hAnsi="Arial" w:cs="Arial"/>
          <w:sz w:val="24"/>
          <w:szCs w:val="24"/>
        </w:rPr>
        <w:t xml:space="preserve">The </w:t>
      </w:r>
      <w:r>
        <w:rPr>
          <w:rFonts w:ascii="Arial" w:hAnsi="Arial" w:cs="Arial"/>
          <w:sz w:val="24"/>
          <w:szCs w:val="24"/>
        </w:rPr>
        <w:t>Patient Flow Team is recruiting i</w:t>
      </w:r>
      <w:r w:rsidRPr="00993E13">
        <w:rPr>
          <w:rFonts w:ascii="Arial" w:hAnsi="Arial" w:cs="Arial"/>
          <w:sz w:val="24"/>
          <w:szCs w:val="24"/>
        </w:rPr>
        <w:t xml:space="preserve">n preparation for the move </w:t>
      </w:r>
      <w:r w:rsidR="00E139B3">
        <w:rPr>
          <w:rFonts w:ascii="Arial" w:hAnsi="Arial" w:cs="Arial"/>
          <w:sz w:val="24"/>
          <w:szCs w:val="24"/>
        </w:rPr>
        <w:t xml:space="preserve">of wards on the </w:t>
      </w:r>
      <w:r w:rsidR="00446676">
        <w:rPr>
          <w:rFonts w:ascii="Arial" w:hAnsi="Arial" w:cs="Arial"/>
          <w:sz w:val="24"/>
          <w:szCs w:val="24"/>
        </w:rPr>
        <w:t>Wirral s</w:t>
      </w:r>
      <w:r w:rsidR="00E139B3">
        <w:rPr>
          <w:rFonts w:ascii="Arial" w:hAnsi="Arial" w:cs="Arial"/>
          <w:sz w:val="24"/>
          <w:szCs w:val="24"/>
        </w:rPr>
        <w:t xml:space="preserve">ite </w:t>
      </w:r>
      <w:r w:rsidRPr="00993E13">
        <w:rPr>
          <w:rFonts w:ascii="Arial" w:hAnsi="Arial" w:cs="Arial"/>
          <w:sz w:val="24"/>
          <w:szCs w:val="24"/>
        </w:rPr>
        <w:t xml:space="preserve">to </w:t>
      </w:r>
      <w:r w:rsidR="00446676">
        <w:rPr>
          <w:rFonts w:ascii="Arial" w:hAnsi="Arial" w:cs="Arial"/>
          <w:sz w:val="24"/>
          <w:szCs w:val="24"/>
        </w:rPr>
        <w:t xml:space="preserve">the new </w:t>
      </w:r>
      <w:r w:rsidRPr="00993E13">
        <w:rPr>
          <w:rFonts w:ascii="Arial" w:hAnsi="Arial" w:cs="Arial"/>
          <w:sz w:val="24"/>
          <w:szCs w:val="24"/>
        </w:rPr>
        <w:t xml:space="preserve">CCC Liverpool.  </w:t>
      </w:r>
    </w:p>
    <w:p w:rsidR="00C00C77" w:rsidRDefault="00C00C77" w:rsidP="00C00C77">
      <w:pPr>
        <w:spacing w:after="0" w:line="240" w:lineRule="auto"/>
        <w:ind w:left="-426"/>
        <w:jc w:val="both"/>
        <w:rPr>
          <w:rFonts w:ascii="Arial" w:hAnsi="Arial" w:cs="Arial"/>
          <w:sz w:val="28"/>
          <w:szCs w:val="28"/>
        </w:rPr>
      </w:pPr>
    </w:p>
    <w:p w:rsidR="00C00C77" w:rsidRPr="000507E0" w:rsidRDefault="00C00C77" w:rsidP="00C00C77">
      <w:pPr>
        <w:spacing w:after="0" w:line="240" w:lineRule="auto"/>
        <w:ind w:left="-426"/>
        <w:jc w:val="both"/>
        <w:rPr>
          <w:rFonts w:ascii="Arial" w:hAnsi="Arial" w:cs="Arial"/>
          <w:sz w:val="24"/>
          <w:szCs w:val="24"/>
        </w:rPr>
      </w:pPr>
      <w:r w:rsidRPr="000507E0">
        <w:rPr>
          <w:rFonts w:ascii="Arial" w:hAnsi="Arial" w:cs="Arial"/>
          <w:sz w:val="24"/>
          <w:szCs w:val="24"/>
        </w:rPr>
        <w:t xml:space="preserve">There were 3 </w:t>
      </w:r>
      <w:r w:rsidR="00EE7745">
        <w:rPr>
          <w:rFonts w:ascii="Arial" w:hAnsi="Arial" w:cs="Arial"/>
          <w:sz w:val="24"/>
          <w:szCs w:val="24"/>
        </w:rPr>
        <w:t>obvious delays in transfer</w:t>
      </w:r>
      <w:r w:rsidR="00446676">
        <w:rPr>
          <w:rFonts w:ascii="Arial" w:hAnsi="Arial" w:cs="Arial"/>
          <w:sz w:val="24"/>
          <w:szCs w:val="24"/>
        </w:rPr>
        <w:t xml:space="preserve"> of care (</w:t>
      </w:r>
      <w:r w:rsidRPr="000507E0">
        <w:rPr>
          <w:rFonts w:ascii="Arial" w:hAnsi="Arial" w:cs="Arial"/>
          <w:sz w:val="24"/>
          <w:szCs w:val="24"/>
        </w:rPr>
        <w:t>DTOCs</w:t>
      </w:r>
      <w:r w:rsidR="00446676">
        <w:rPr>
          <w:rFonts w:ascii="Arial" w:hAnsi="Arial" w:cs="Arial"/>
          <w:sz w:val="24"/>
          <w:szCs w:val="24"/>
        </w:rPr>
        <w:t>)</w:t>
      </w:r>
      <w:r w:rsidRPr="000507E0">
        <w:rPr>
          <w:rFonts w:ascii="Arial" w:hAnsi="Arial" w:cs="Arial"/>
          <w:sz w:val="24"/>
          <w:szCs w:val="24"/>
        </w:rPr>
        <w:t xml:space="preserve"> for </w:t>
      </w:r>
      <w:r w:rsidR="00F2489E" w:rsidRPr="000507E0">
        <w:rPr>
          <w:rFonts w:ascii="Arial" w:hAnsi="Arial" w:cs="Arial"/>
          <w:sz w:val="24"/>
          <w:szCs w:val="24"/>
        </w:rPr>
        <w:t>May;</w:t>
      </w:r>
      <w:r w:rsidRPr="000507E0">
        <w:rPr>
          <w:rFonts w:ascii="Arial" w:hAnsi="Arial" w:cs="Arial"/>
          <w:sz w:val="24"/>
          <w:szCs w:val="24"/>
        </w:rPr>
        <w:t xml:space="preserve"> all </w:t>
      </w:r>
      <w:r w:rsidR="00EE7745">
        <w:rPr>
          <w:rFonts w:ascii="Arial" w:hAnsi="Arial" w:cs="Arial"/>
          <w:sz w:val="24"/>
          <w:szCs w:val="24"/>
        </w:rPr>
        <w:t xml:space="preserve">patients were </w:t>
      </w:r>
      <w:r w:rsidRPr="000507E0">
        <w:rPr>
          <w:rFonts w:ascii="Arial" w:hAnsi="Arial" w:cs="Arial"/>
          <w:sz w:val="24"/>
          <w:szCs w:val="24"/>
        </w:rPr>
        <w:t>awaiting hospice transfer.</w:t>
      </w:r>
      <w:r w:rsidR="00EE7745">
        <w:rPr>
          <w:rFonts w:ascii="Arial" w:hAnsi="Arial" w:cs="Arial"/>
          <w:sz w:val="24"/>
          <w:szCs w:val="24"/>
        </w:rPr>
        <w:t xml:space="preserve"> Work is underway to enable staff to record all expected dates of discharge in Meditech. </w:t>
      </w:r>
    </w:p>
    <w:p w:rsidR="00EB0B46" w:rsidRPr="0012109F" w:rsidRDefault="00EB0B46" w:rsidP="00EB0B46">
      <w:pPr>
        <w:spacing w:after="0" w:line="240" w:lineRule="auto"/>
        <w:ind w:left="-426"/>
        <w:jc w:val="both"/>
        <w:rPr>
          <w:rFonts w:ascii="Arial" w:hAnsi="Arial" w:cs="Arial"/>
          <w:b/>
          <w:color w:val="000000" w:themeColor="text1"/>
          <w:sz w:val="24"/>
          <w:szCs w:val="28"/>
          <w:highlight w:val="yellow"/>
        </w:rPr>
      </w:pPr>
    </w:p>
    <w:p w:rsidR="00066931" w:rsidRPr="00C00C77" w:rsidRDefault="00AD26FD" w:rsidP="003B7C91">
      <w:pPr>
        <w:spacing w:after="0" w:line="240" w:lineRule="auto"/>
        <w:ind w:left="-426"/>
        <w:rPr>
          <w:rFonts w:ascii="Arial" w:hAnsi="Arial" w:cs="Arial"/>
          <w:b/>
          <w:sz w:val="24"/>
          <w:szCs w:val="24"/>
        </w:rPr>
      </w:pPr>
      <w:r w:rsidRPr="00C00C77">
        <w:rPr>
          <w:rFonts w:ascii="Arial" w:hAnsi="Arial" w:cs="Arial"/>
          <w:b/>
          <w:sz w:val="24"/>
          <w:szCs w:val="24"/>
        </w:rPr>
        <w:t>Length of Stay</w:t>
      </w:r>
      <w:r w:rsidR="00642E69" w:rsidRPr="00C00C77">
        <w:rPr>
          <w:rFonts w:ascii="Arial" w:hAnsi="Arial" w:cs="Arial"/>
          <w:b/>
          <w:sz w:val="24"/>
          <w:szCs w:val="24"/>
        </w:rPr>
        <w:t xml:space="preserve">: </w:t>
      </w:r>
      <w:r w:rsidR="00542CAB" w:rsidRPr="00C00C77">
        <w:rPr>
          <w:rFonts w:ascii="Arial" w:hAnsi="Arial" w:cs="Arial"/>
          <w:b/>
          <w:sz w:val="24"/>
          <w:szCs w:val="24"/>
        </w:rPr>
        <w:t>Haemato-Oncology</w:t>
      </w:r>
      <w:r w:rsidR="00346B00" w:rsidRPr="00C00C77">
        <w:rPr>
          <w:rFonts w:ascii="Arial" w:hAnsi="Arial" w:cs="Arial"/>
          <w:b/>
          <w:sz w:val="24"/>
          <w:szCs w:val="24"/>
        </w:rPr>
        <w:t xml:space="preserve"> – Ward 7Y</w:t>
      </w:r>
      <w:r w:rsidR="00DA00C5" w:rsidRPr="00C00C77">
        <w:rPr>
          <w:rFonts w:ascii="Arial" w:hAnsi="Arial" w:cs="Arial"/>
          <w:b/>
          <w:sz w:val="24"/>
          <w:szCs w:val="24"/>
        </w:rPr>
        <w:t xml:space="preserve">  </w:t>
      </w:r>
    </w:p>
    <w:p w:rsidR="00864E08" w:rsidRPr="00C52760" w:rsidRDefault="00864E08" w:rsidP="003B7C91">
      <w:pPr>
        <w:spacing w:after="0" w:line="240" w:lineRule="auto"/>
        <w:ind w:left="-426"/>
        <w:rPr>
          <w:rFonts w:ascii="Arial" w:hAnsi="Arial" w:cs="Arial"/>
          <w:b/>
          <w:sz w:val="16"/>
          <w:szCs w:val="16"/>
          <w:highlight w:val="yellow"/>
        </w:rPr>
      </w:pPr>
    </w:p>
    <w:p w:rsidR="00864E08" w:rsidRPr="00C00C77" w:rsidRDefault="00864E08" w:rsidP="00864E08">
      <w:pPr>
        <w:spacing w:after="0" w:line="240" w:lineRule="auto"/>
        <w:ind w:left="-426"/>
        <w:jc w:val="both"/>
        <w:rPr>
          <w:rFonts w:ascii="Arial" w:hAnsi="Arial" w:cs="Arial"/>
          <w:sz w:val="24"/>
          <w:szCs w:val="24"/>
        </w:rPr>
      </w:pPr>
      <w:r w:rsidRPr="00C00C77">
        <w:rPr>
          <w:rFonts w:ascii="Arial" w:hAnsi="Arial" w:cs="Arial"/>
          <w:sz w:val="24"/>
          <w:szCs w:val="24"/>
        </w:rPr>
        <w:t>This chart shows the elective and non-elective LoS for HO 7Y ward against the targets.</w:t>
      </w:r>
    </w:p>
    <w:p w:rsidR="00864E08" w:rsidRPr="00EC19F3" w:rsidRDefault="00864E08" w:rsidP="00864E08">
      <w:pPr>
        <w:spacing w:after="0" w:line="240" w:lineRule="auto"/>
        <w:ind w:left="-426"/>
        <w:jc w:val="both"/>
        <w:rPr>
          <w:rFonts w:ascii="Arial" w:eastAsia="Calibri" w:hAnsi="Arial" w:cs="Arial"/>
          <w:sz w:val="12"/>
          <w:szCs w:val="12"/>
          <w:highlight w:val="yellow"/>
        </w:rPr>
      </w:pPr>
    </w:p>
    <w:p w:rsidR="00864E08" w:rsidRPr="00EC19F3" w:rsidRDefault="00896A2E" w:rsidP="00864E08">
      <w:pPr>
        <w:spacing w:after="0" w:line="240" w:lineRule="auto"/>
        <w:ind w:left="-426"/>
        <w:jc w:val="both"/>
        <w:rPr>
          <w:rFonts w:ascii="Arial" w:eastAsia="Calibri" w:hAnsi="Arial" w:cs="Arial"/>
          <w:sz w:val="24"/>
          <w:szCs w:val="24"/>
          <w:highlight w:val="yellow"/>
        </w:rPr>
      </w:pPr>
      <w:r>
        <w:rPr>
          <w:rFonts w:ascii="Arial" w:eastAsia="Calibri" w:hAnsi="Arial" w:cs="Arial"/>
          <w:noProof/>
          <w:sz w:val="24"/>
          <w:szCs w:val="24"/>
          <w:lang w:eastAsia="en-GB"/>
        </w:rPr>
        <w:drawing>
          <wp:inline distT="0" distB="0" distL="0" distR="0" wp14:anchorId="4DFA65D0">
            <wp:extent cx="6250690" cy="1972492"/>
            <wp:effectExtent l="0" t="0" r="0" b="889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261858" cy="1976016"/>
                    </a:xfrm>
                    <a:prstGeom prst="rect">
                      <a:avLst/>
                    </a:prstGeom>
                    <a:noFill/>
                  </pic:spPr>
                </pic:pic>
              </a:graphicData>
            </a:graphic>
          </wp:inline>
        </w:drawing>
      </w:r>
    </w:p>
    <w:p w:rsidR="00346CEC" w:rsidRPr="00EC19F3" w:rsidRDefault="00346CEC" w:rsidP="00BF0061">
      <w:pPr>
        <w:spacing w:after="0" w:line="240" w:lineRule="auto"/>
        <w:ind w:left="-426"/>
        <w:jc w:val="both"/>
        <w:rPr>
          <w:rFonts w:ascii="Arial" w:hAnsi="Arial" w:cs="Arial"/>
          <w:sz w:val="12"/>
          <w:szCs w:val="12"/>
          <w:highlight w:val="yellow"/>
        </w:rPr>
      </w:pPr>
    </w:p>
    <w:p w:rsidR="00AD26FD" w:rsidRPr="001C3A18" w:rsidRDefault="00446676" w:rsidP="00AD26FD">
      <w:pPr>
        <w:spacing w:after="0" w:line="240" w:lineRule="auto"/>
        <w:ind w:left="-426"/>
        <w:jc w:val="both"/>
        <w:rPr>
          <w:rFonts w:ascii="Arial" w:hAnsi="Arial" w:cs="Arial"/>
          <w:sz w:val="24"/>
          <w:szCs w:val="24"/>
        </w:rPr>
      </w:pPr>
      <w:r w:rsidRPr="001C3A18">
        <w:rPr>
          <w:rFonts w:ascii="Arial" w:hAnsi="Arial" w:cs="Arial"/>
          <w:sz w:val="24"/>
          <w:szCs w:val="24"/>
        </w:rPr>
        <w:t>Both the elective and emergency care targets for HO average LoS were achieved for May.</w:t>
      </w:r>
      <w:r w:rsidR="00AD26FD" w:rsidRPr="001C3A18">
        <w:rPr>
          <w:rFonts w:ascii="Arial" w:hAnsi="Arial" w:cs="Arial"/>
          <w:sz w:val="24"/>
          <w:szCs w:val="24"/>
        </w:rPr>
        <w:t xml:space="preserve"> </w:t>
      </w:r>
    </w:p>
    <w:p w:rsidR="00AD26FD" w:rsidRPr="001C3A18" w:rsidRDefault="00AD26FD" w:rsidP="00AD26FD">
      <w:pPr>
        <w:spacing w:after="0" w:line="240" w:lineRule="auto"/>
        <w:ind w:left="-426"/>
        <w:jc w:val="both"/>
        <w:rPr>
          <w:rFonts w:ascii="Arial" w:hAnsi="Arial" w:cs="Arial"/>
          <w:sz w:val="24"/>
          <w:szCs w:val="24"/>
          <w:highlight w:val="yellow"/>
        </w:rPr>
      </w:pPr>
    </w:p>
    <w:p w:rsidR="00AD26FD" w:rsidRPr="001C3A18" w:rsidRDefault="00AD26FD" w:rsidP="00AD26FD">
      <w:pPr>
        <w:spacing w:after="0" w:line="240" w:lineRule="auto"/>
        <w:ind w:left="-426"/>
        <w:jc w:val="both"/>
        <w:rPr>
          <w:rFonts w:ascii="Arial" w:hAnsi="Arial" w:cs="Arial"/>
          <w:sz w:val="24"/>
          <w:szCs w:val="24"/>
        </w:rPr>
      </w:pPr>
      <w:r w:rsidRPr="001C3A18">
        <w:rPr>
          <w:rFonts w:ascii="Arial" w:hAnsi="Arial" w:cs="Arial"/>
          <w:sz w:val="24"/>
          <w:szCs w:val="24"/>
        </w:rPr>
        <w:t xml:space="preserve">The HO directorate is </w:t>
      </w:r>
      <w:r w:rsidR="00446676" w:rsidRPr="001C3A18">
        <w:rPr>
          <w:rFonts w:ascii="Arial" w:hAnsi="Arial" w:cs="Arial"/>
          <w:sz w:val="24"/>
          <w:szCs w:val="24"/>
        </w:rPr>
        <w:t>r</w:t>
      </w:r>
      <w:r w:rsidRPr="001C3A18">
        <w:rPr>
          <w:rFonts w:ascii="Arial" w:hAnsi="Arial" w:cs="Arial"/>
          <w:sz w:val="24"/>
          <w:szCs w:val="24"/>
        </w:rPr>
        <w:t>eview</w:t>
      </w:r>
      <w:r w:rsidR="00446676" w:rsidRPr="001C3A18">
        <w:rPr>
          <w:rFonts w:ascii="Arial" w:hAnsi="Arial" w:cs="Arial"/>
          <w:sz w:val="24"/>
          <w:szCs w:val="24"/>
        </w:rPr>
        <w:t>ing</w:t>
      </w:r>
      <w:r w:rsidRPr="001C3A18">
        <w:rPr>
          <w:rFonts w:ascii="Arial" w:hAnsi="Arial" w:cs="Arial"/>
          <w:sz w:val="24"/>
          <w:szCs w:val="24"/>
        </w:rPr>
        <w:t xml:space="preserve"> </w:t>
      </w:r>
      <w:r w:rsidR="00446676" w:rsidRPr="001C3A18">
        <w:rPr>
          <w:rFonts w:ascii="Arial" w:hAnsi="Arial" w:cs="Arial"/>
          <w:sz w:val="24"/>
          <w:szCs w:val="24"/>
        </w:rPr>
        <w:t>comparator HRG level benchmarking data from both the Christie and the Marsden</w:t>
      </w:r>
      <w:r w:rsidRPr="001C3A18">
        <w:rPr>
          <w:rFonts w:ascii="Arial" w:hAnsi="Arial" w:cs="Arial"/>
          <w:sz w:val="24"/>
          <w:szCs w:val="24"/>
        </w:rPr>
        <w:t>. The purpose of the review, commencing with all Leukaemia HRGs, is to identify outlying HRGs, review and validate patient level clinical and coding data with the vie</w:t>
      </w:r>
      <w:r w:rsidR="00864E08" w:rsidRPr="001C3A18">
        <w:rPr>
          <w:rFonts w:ascii="Arial" w:hAnsi="Arial" w:cs="Arial"/>
          <w:sz w:val="24"/>
          <w:szCs w:val="24"/>
        </w:rPr>
        <w:t>w to identifying non elective Lo</w:t>
      </w:r>
      <w:r w:rsidRPr="001C3A18">
        <w:rPr>
          <w:rFonts w:ascii="Arial" w:hAnsi="Arial" w:cs="Arial"/>
          <w:sz w:val="24"/>
          <w:szCs w:val="24"/>
        </w:rPr>
        <w:t>S pathway improvements.</w:t>
      </w:r>
      <w:r w:rsidR="00896A2E" w:rsidRPr="001C3A18">
        <w:rPr>
          <w:rFonts w:ascii="Arial" w:hAnsi="Arial" w:cs="Arial"/>
          <w:sz w:val="24"/>
          <w:szCs w:val="24"/>
        </w:rPr>
        <w:t xml:space="preserve"> </w:t>
      </w:r>
      <w:r w:rsidR="00C87EEF" w:rsidRPr="001C3A18">
        <w:rPr>
          <w:rFonts w:ascii="Arial" w:hAnsi="Arial" w:cs="Arial"/>
          <w:sz w:val="24"/>
          <w:szCs w:val="24"/>
        </w:rPr>
        <w:t>This will be p</w:t>
      </w:r>
      <w:r w:rsidR="008B0218" w:rsidRPr="001C3A18">
        <w:rPr>
          <w:rFonts w:ascii="Arial" w:hAnsi="Arial" w:cs="Arial"/>
          <w:sz w:val="24"/>
          <w:szCs w:val="24"/>
        </w:rPr>
        <w:t>resented in a report to the next</w:t>
      </w:r>
      <w:r w:rsidR="00C87EEF" w:rsidRPr="001C3A18">
        <w:rPr>
          <w:rFonts w:ascii="Arial" w:hAnsi="Arial" w:cs="Arial"/>
          <w:sz w:val="24"/>
          <w:szCs w:val="24"/>
        </w:rPr>
        <w:t xml:space="preserve"> Performance Committee. </w:t>
      </w:r>
    </w:p>
    <w:p w:rsidR="00346C7D" w:rsidRPr="001C3A18" w:rsidRDefault="00346C7D" w:rsidP="00AD26FD">
      <w:pPr>
        <w:spacing w:after="0" w:line="240" w:lineRule="auto"/>
        <w:ind w:left="-426"/>
        <w:jc w:val="both"/>
        <w:rPr>
          <w:rFonts w:ascii="Arial" w:hAnsi="Arial" w:cs="Arial"/>
          <w:sz w:val="24"/>
          <w:szCs w:val="24"/>
          <w:highlight w:val="yellow"/>
        </w:rPr>
      </w:pPr>
    </w:p>
    <w:p w:rsidR="0063290D" w:rsidRPr="001C3A18" w:rsidRDefault="0063290D" w:rsidP="0063290D">
      <w:pPr>
        <w:spacing w:after="0" w:line="240" w:lineRule="auto"/>
        <w:ind w:left="-426"/>
        <w:jc w:val="both"/>
        <w:rPr>
          <w:rFonts w:ascii="Arial" w:hAnsi="Arial" w:cs="Arial"/>
          <w:b/>
          <w:sz w:val="24"/>
          <w:szCs w:val="24"/>
        </w:rPr>
      </w:pPr>
      <w:r w:rsidRPr="001C3A18">
        <w:rPr>
          <w:rFonts w:ascii="Arial" w:hAnsi="Arial" w:cs="Arial"/>
          <w:b/>
          <w:sz w:val="24"/>
          <w:szCs w:val="24"/>
        </w:rPr>
        <w:t>Bed Occupancy</w:t>
      </w:r>
      <w:r w:rsidR="009623AC" w:rsidRPr="001C3A18">
        <w:rPr>
          <w:rFonts w:ascii="Arial" w:hAnsi="Arial" w:cs="Arial"/>
          <w:b/>
          <w:sz w:val="24"/>
          <w:szCs w:val="24"/>
        </w:rPr>
        <w:t xml:space="preserve">: Wirral </w:t>
      </w:r>
      <w:r w:rsidR="004B00BF" w:rsidRPr="001C3A18">
        <w:rPr>
          <w:rFonts w:ascii="Arial" w:hAnsi="Arial" w:cs="Arial"/>
          <w:b/>
          <w:sz w:val="24"/>
          <w:szCs w:val="24"/>
        </w:rPr>
        <w:t xml:space="preserve">Wards </w:t>
      </w:r>
    </w:p>
    <w:p w:rsidR="00C00C77" w:rsidRPr="001C3A18" w:rsidRDefault="00C00C77" w:rsidP="0063290D">
      <w:pPr>
        <w:spacing w:after="0" w:line="240" w:lineRule="auto"/>
        <w:ind w:left="-426"/>
        <w:jc w:val="both"/>
        <w:rPr>
          <w:rFonts w:ascii="Arial" w:hAnsi="Arial" w:cs="Arial"/>
          <w:b/>
          <w:sz w:val="24"/>
          <w:szCs w:val="24"/>
          <w:highlight w:val="yellow"/>
        </w:rPr>
      </w:pPr>
    </w:p>
    <w:p w:rsidR="00C00C77" w:rsidRPr="001C3A18" w:rsidRDefault="00C87EEF" w:rsidP="00C00C77">
      <w:pPr>
        <w:spacing w:after="0" w:line="240" w:lineRule="auto"/>
        <w:ind w:left="-426"/>
        <w:jc w:val="both"/>
        <w:rPr>
          <w:rFonts w:ascii="Arial" w:hAnsi="Arial" w:cs="Arial"/>
          <w:sz w:val="24"/>
          <w:szCs w:val="24"/>
        </w:rPr>
      </w:pPr>
      <w:r w:rsidRPr="001C3A18">
        <w:rPr>
          <w:rFonts w:ascii="Arial" w:hAnsi="Arial" w:cs="Arial"/>
          <w:sz w:val="24"/>
          <w:szCs w:val="24"/>
        </w:rPr>
        <w:t>B</w:t>
      </w:r>
      <w:r w:rsidR="00C00C77" w:rsidRPr="001C3A18">
        <w:rPr>
          <w:rFonts w:ascii="Arial" w:hAnsi="Arial" w:cs="Arial"/>
          <w:sz w:val="24"/>
          <w:szCs w:val="24"/>
        </w:rPr>
        <w:t xml:space="preserve">ed occupancy has continued to be </w:t>
      </w:r>
      <w:r w:rsidRPr="001C3A18">
        <w:rPr>
          <w:rFonts w:ascii="Arial" w:hAnsi="Arial" w:cs="Arial"/>
          <w:sz w:val="24"/>
          <w:szCs w:val="24"/>
        </w:rPr>
        <w:t>significantly below</w:t>
      </w:r>
      <w:r w:rsidR="00C00C77" w:rsidRPr="001C3A18">
        <w:rPr>
          <w:rFonts w:ascii="Arial" w:hAnsi="Arial" w:cs="Arial"/>
          <w:sz w:val="24"/>
          <w:szCs w:val="24"/>
        </w:rPr>
        <w:t xml:space="preserve"> the </w:t>
      </w:r>
      <w:r w:rsidR="00E139B3" w:rsidRPr="001C3A18">
        <w:rPr>
          <w:rFonts w:ascii="Arial" w:hAnsi="Arial" w:cs="Arial"/>
          <w:sz w:val="24"/>
          <w:szCs w:val="24"/>
        </w:rPr>
        <w:t>temporary COVID related</w:t>
      </w:r>
      <w:r w:rsidR="00C00C77" w:rsidRPr="001C3A18">
        <w:rPr>
          <w:rFonts w:ascii="Arial" w:hAnsi="Arial" w:cs="Arial"/>
          <w:sz w:val="24"/>
          <w:szCs w:val="24"/>
        </w:rPr>
        <w:t xml:space="preserve"> target </w:t>
      </w:r>
      <w:r w:rsidR="00C52760">
        <w:rPr>
          <w:rFonts w:ascii="Arial" w:hAnsi="Arial" w:cs="Arial"/>
          <w:sz w:val="24"/>
          <w:szCs w:val="24"/>
        </w:rPr>
        <w:t>of </w:t>
      </w:r>
      <w:r w:rsidR="00C00C77" w:rsidRPr="001C3A18">
        <w:rPr>
          <w:rFonts w:ascii="Arial" w:hAnsi="Arial" w:cs="Arial"/>
          <w:b/>
          <w:sz w:val="24"/>
          <w:szCs w:val="24"/>
        </w:rPr>
        <w:t>80%</w:t>
      </w:r>
      <w:r w:rsidR="00C00C77" w:rsidRPr="001C3A18">
        <w:rPr>
          <w:rFonts w:ascii="Arial" w:hAnsi="Arial" w:cs="Arial"/>
          <w:sz w:val="24"/>
          <w:szCs w:val="24"/>
        </w:rPr>
        <w:t>:</w:t>
      </w:r>
    </w:p>
    <w:p w:rsidR="00C00C77" w:rsidRPr="001C3A18" w:rsidRDefault="00C00C77" w:rsidP="00C52760">
      <w:pPr>
        <w:pStyle w:val="ListParagraph"/>
        <w:numPr>
          <w:ilvl w:val="0"/>
          <w:numId w:val="20"/>
        </w:numPr>
        <w:spacing w:after="0" w:line="240" w:lineRule="auto"/>
        <w:ind w:left="-142" w:hanging="284"/>
        <w:jc w:val="both"/>
        <w:rPr>
          <w:rFonts w:ascii="Arial" w:hAnsi="Arial" w:cs="Arial"/>
          <w:color w:val="000000" w:themeColor="text1"/>
          <w:sz w:val="24"/>
          <w:szCs w:val="24"/>
        </w:rPr>
      </w:pPr>
      <w:r w:rsidRPr="001C3A18">
        <w:rPr>
          <w:rFonts w:ascii="Arial" w:hAnsi="Arial" w:cs="Arial"/>
          <w:color w:val="000000" w:themeColor="text1"/>
          <w:sz w:val="24"/>
          <w:szCs w:val="24"/>
        </w:rPr>
        <w:t xml:space="preserve">Average bed occupancy at midday on both Mersey and Conway wards for May was </w:t>
      </w:r>
      <w:r w:rsidRPr="001C3A18">
        <w:rPr>
          <w:rFonts w:ascii="Arial" w:hAnsi="Arial" w:cs="Arial"/>
          <w:b/>
          <w:color w:val="000000" w:themeColor="text1"/>
          <w:sz w:val="24"/>
          <w:szCs w:val="24"/>
        </w:rPr>
        <w:t>44.8%</w:t>
      </w:r>
      <w:r w:rsidRPr="001C3A18">
        <w:rPr>
          <w:rFonts w:ascii="Arial" w:hAnsi="Arial" w:cs="Arial"/>
          <w:color w:val="000000" w:themeColor="text1"/>
          <w:sz w:val="24"/>
          <w:szCs w:val="24"/>
        </w:rPr>
        <w:t>.  This is based on the availability of 51 beds in total and includes beds occupied by both non elective inpatient</w:t>
      </w:r>
      <w:r w:rsidR="00F2489E" w:rsidRPr="001C3A18">
        <w:rPr>
          <w:rFonts w:ascii="Arial" w:hAnsi="Arial" w:cs="Arial"/>
          <w:color w:val="000000" w:themeColor="text1"/>
          <w:sz w:val="24"/>
          <w:szCs w:val="24"/>
        </w:rPr>
        <w:t>,</w:t>
      </w:r>
      <w:r w:rsidRPr="001C3A18">
        <w:rPr>
          <w:rFonts w:ascii="Arial" w:hAnsi="Arial" w:cs="Arial"/>
          <w:color w:val="000000" w:themeColor="text1"/>
          <w:sz w:val="24"/>
          <w:szCs w:val="24"/>
        </w:rPr>
        <w:t xml:space="preserve"> day-case and unplanned activity</w:t>
      </w:r>
      <w:r w:rsidR="00F2489E" w:rsidRPr="001C3A18">
        <w:rPr>
          <w:rFonts w:ascii="Arial" w:hAnsi="Arial" w:cs="Arial"/>
          <w:color w:val="000000" w:themeColor="text1"/>
          <w:sz w:val="24"/>
          <w:szCs w:val="24"/>
        </w:rPr>
        <w:t>.</w:t>
      </w:r>
    </w:p>
    <w:p w:rsidR="00C00C77" w:rsidRPr="001C3A18" w:rsidRDefault="00C00C77" w:rsidP="00C52760">
      <w:pPr>
        <w:pStyle w:val="ListParagraph"/>
        <w:numPr>
          <w:ilvl w:val="0"/>
          <w:numId w:val="20"/>
        </w:numPr>
        <w:spacing w:after="0" w:line="240" w:lineRule="auto"/>
        <w:ind w:left="-142" w:hanging="284"/>
        <w:jc w:val="both"/>
        <w:rPr>
          <w:rFonts w:ascii="Arial" w:hAnsi="Arial" w:cs="Arial"/>
          <w:color w:val="000000" w:themeColor="text1"/>
          <w:sz w:val="24"/>
          <w:szCs w:val="24"/>
        </w:rPr>
      </w:pPr>
      <w:r w:rsidRPr="001C3A18">
        <w:rPr>
          <w:rFonts w:ascii="Arial" w:hAnsi="Arial" w:cs="Arial"/>
          <w:color w:val="000000" w:themeColor="text1"/>
          <w:sz w:val="24"/>
          <w:szCs w:val="24"/>
        </w:rPr>
        <w:t xml:space="preserve">Average bed occupancy at midnight on both Mersey and Conway wards for May was </w:t>
      </w:r>
      <w:r w:rsidRPr="001C3A18">
        <w:rPr>
          <w:rFonts w:ascii="Arial" w:hAnsi="Arial" w:cs="Arial"/>
          <w:b/>
          <w:color w:val="000000" w:themeColor="text1"/>
          <w:sz w:val="24"/>
          <w:szCs w:val="24"/>
        </w:rPr>
        <w:t>51.7%</w:t>
      </w:r>
      <w:r w:rsidRPr="001C3A18">
        <w:rPr>
          <w:rFonts w:ascii="Arial" w:hAnsi="Arial" w:cs="Arial"/>
          <w:color w:val="000000" w:themeColor="text1"/>
          <w:sz w:val="24"/>
          <w:szCs w:val="24"/>
        </w:rPr>
        <w:t>. This is based on a reduced bed base of 40, removing the day-case bed allocation</w:t>
      </w:r>
      <w:r w:rsidR="00392D42" w:rsidRPr="001C3A18">
        <w:rPr>
          <w:rFonts w:ascii="Arial" w:hAnsi="Arial" w:cs="Arial"/>
          <w:color w:val="000000" w:themeColor="text1"/>
          <w:sz w:val="24"/>
          <w:szCs w:val="24"/>
        </w:rPr>
        <w:t>.</w:t>
      </w:r>
    </w:p>
    <w:p w:rsidR="00C00C77" w:rsidRPr="001C3A18" w:rsidRDefault="00C00C77" w:rsidP="00C52760">
      <w:pPr>
        <w:spacing w:after="0" w:line="240" w:lineRule="auto"/>
        <w:ind w:left="-142" w:hanging="284"/>
        <w:jc w:val="both"/>
        <w:rPr>
          <w:rFonts w:ascii="Arial" w:hAnsi="Arial" w:cs="Arial"/>
          <w:sz w:val="24"/>
          <w:szCs w:val="24"/>
          <w:highlight w:val="yellow"/>
        </w:rPr>
      </w:pPr>
    </w:p>
    <w:p w:rsidR="00392D42" w:rsidRPr="001C3A18" w:rsidRDefault="00392D42" w:rsidP="00C00C77">
      <w:pPr>
        <w:spacing w:after="0" w:line="240" w:lineRule="auto"/>
        <w:ind w:left="-426"/>
        <w:jc w:val="both"/>
        <w:rPr>
          <w:rFonts w:ascii="Arial" w:hAnsi="Arial" w:cs="Arial"/>
          <w:sz w:val="24"/>
          <w:szCs w:val="24"/>
        </w:rPr>
      </w:pPr>
      <w:r w:rsidRPr="001C3A18">
        <w:rPr>
          <w:rFonts w:ascii="Arial" w:hAnsi="Arial" w:cs="Arial"/>
          <w:sz w:val="24"/>
          <w:szCs w:val="24"/>
        </w:rPr>
        <w:t xml:space="preserve">This inclusion of day-case activity in the bed occupancy figures and related reduced overnight bed base was </w:t>
      </w:r>
      <w:r w:rsidR="00F2489E" w:rsidRPr="001C3A18">
        <w:rPr>
          <w:rFonts w:ascii="Arial" w:hAnsi="Arial" w:cs="Arial"/>
          <w:sz w:val="24"/>
          <w:szCs w:val="24"/>
        </w:rPr>
        <w:t xml:space="preserve">introduced </w:t>
      </w:r>
      <w:r w:rsidR="006E0FC6" w:rsidRPr="001C3A18">
        <w:rPr>
          <w:rFonts w:ascii="Arial" w:hAnsi="Arial" w:cs="Arial"/>
          <w:sz w:val="24"/>
          <w:szCs w:val="24"/>
        </w:rPr>
        <w:t>on 1</w:t>
      </w:r>
      <w:r w:rsidR="006E0FC6" w:rsidRPr="001C3A18">
        <w:rPr>
          <w:rFonts w:ascii="Arial" w:hAnsi="Arial" w:cs="Arial"/>
          <w:sz w:val="24"/>
          <w:szCs w:val="24"/>
          <w:vertAlign w:val="superscript"/>
        </w:rPr>
        <w:t>st</w:t>
      </w:r>
      <w:r w:rsidR="006E0FC6" w:rsidRPr="001C3A18">
        <w:rPr>
          <w:rFonts w:ascii="Arial" w:hAnsi="Arial" w:cs="Arial"/>
          <w:sz w:val="24"/>
          <w:szCs w:val="24"/>
        </w:rPr>
        <w:t xml:space="preserve"> </w:t>
      </w:r>
      <w:r w:rsidRPr="001C3A18">
        <w:rPr>
          <w:rFonts w:ascii="Arial" w:hAnsi="Arial" w:cs="Arial"/>
          <w:sz w:val="24"/>
          <w:szCs w:val="24"/>
        </w:rPr>
        <w:t>May 2020</w:t>
      </w:r>
      <w:r w:rsidR="006E0FC6" w:rsidRPr="001C3A18">
        <w:rPr>
          <w:rFonts w:ascii="Arial" w:hAnsi="Arial" w:cs="Arial"/>
          <w:sz w:val="24"/>
          <w:szCs w:val="24"/>
        </w:rPr>
        <w:t xml:space="preserve"> and ended on 31</w:t>
      </w:r>
      <w:r w:rsidR="006E0FC6" w:rsidRPr="001C3A18">
        <w:rPr>
          <w:rFonts w:ascii="Arial" w:hAnsi="Arial" w:cs="Arial"/>
          <w:sz w:val="24"/>
          <w:szCs w:val="24"/>
          <w:vertAlign w:val="superscript"/>
        </w:rPr>
        <w:t>st</w:t>
      </w:r>
      <w:r w:rsidR="006E0FC6" w:rsidRPr="001C3A18">
        <w:rPr>
          <w:rFonts w:ascii="Arial" w:hAnsi="Arial" w:cs="Arial"/>
          <w:sz w:val="24"/>
          <w:szCs w:val="24"/>
        </w:rPr>
        <w:t xml:space="preserve"> May.</w:t>
      </w:r>
    </w:p>
    <w:p w:rsidR="00392D42" w:rsidRPr="001C3A18" w:rsidRDefault="00392D42" w:rsidP="00C00C77">
      <w:pPr>
        <w:spacing w:after="0" w:line="240" w:lineRule="auto"/>
        <w:ind w:left="-426"/>
        <w:jc w:val="both"/>
        <w:rPr>
          <w:rFonts w:ascii="Arial" w:hAnsi="Arial" w:cs="Arial"/>
          <w:sz w:val="24"/>
          <w:szCs w:val="24"/>
        </w:rPr>
      </w:pPr>
    </w:p>
    <w:p w:rsidR="00C00C77" w:rsidRPr="001C3A18" w:rsidRDefault="00C00C77" w:rsidP="00C00C77">
      <w:pPr>
        <w:spacing w:after="0" w:line="240" w:lineRule="auto"/>
        <w:ind w:left="-426"/>
        <w:jc w:val="both"/>
        <w:rPr>
          <w:rFonts w:ascii="Arial" w:hAnsi="Arial" w:cs="Arial"/>
          <w:sz w:val="24"/>
          <w:szCs w:val="24"/>
        </w:rPr>
      </w:pPr>
      <w:r w:rsidRPr="001C3A18">
        <w:rPr>
          <w:rFonts w:ascii="Arial" w:hAnsi="Arial" w:cs="Arial"/>
          <w:sz w:val="24"/>
          <w:szCs w:val="24"/>
        </w:rPr>
        <w:lastRenderedPageBreak/>
        <w:t>The reduction in bed occupancy is in line with NHSE guidance (i.e. reduce occupancy and create capacity in response to COVID-19 pandemic).</w:t>
      </w:r>
    </w:p>
    <w:p w:rsidR="00C00C77" w:rsidRPr="001C3A18" w:rsidRDefault="00C00C77" w:rsidP="00C00C77">
      <w:pPr>
        <w:spacing w:after="0" w:line="240" w:lineRule="auto"/>
        <w:ind w:left="-426"/>
        <w:jc w:val="both"/>
        <w:rPr>
          <w:rFonts w:ascii="Arial" w:hAnsi="Arial" w:cs="Arial"/>
          <w:sz w:val="24"/>
          <w:szCs w:val="24"/>
          <w:highlight w:val="yellow"/>
        </w:rPr>
      </w:pPr>
    </w:p>
    <w:p w:rsidR="00C00C77" w:rsidRPr="001C3A18" w:rsidRDefault="00C00C77" w:rsidP="00C00C77">
      <w:pPr>
        <w:spacing w:after="0" w:line="240" w:lineRule="auto"/>
        <w:ind w:left="-426"/>
        <w:jc w:val="both"/>
        <w:rPr>
          <w:rFonts w:ascii="Arial" w:hAnsi="Arial" w:cs="Arial"/>
          <w:sz w:val="24"/>
          <w:szCs w:val="24"/>
        </w:rPr>
      </w:pPr>
      <w:r w:rsidRPr="001C3A18">
        <w:rPr>
          <w:rFonts w:ascii="Arial" w:hAnsi="Arial" w:cs="Arial"/>
          <w:sz w:val="24"/>
          <w:szCs w:val="24"/>
        </w:rPr>
        <w:t>The number of both non-elective and elective admissions has increased, particularly towards the end of the month:</w:t>
      </w:r>
    </w:p>
    <w:p w:rsidR="00C00C77" w:rsidRPr="00C52760" w:rsidRDefault="00C00C77" w:rsidP="00C52760">
      <w:pPr>
        <w:pStyle w:val="ListParagraph"/>
        <w:numPr>
          <w:ilvl w:val="0"/>
          <w:numId w:val="20"/>
        </w:numPr>
        <w:spacing w:after="0" w:line="240" w:lineRule="auto"/>
        <w:ind w:left="-142" w:hanging="284"/>
        <w:jc w:val="both"/>
        <w:rPr>
          <w:rFonts w:ascii="Arial" w:hAnsi="Arial" w:cs="Arial"/>
          <w:color w:val="000000" w:themeColor="text1"/>
          <w:sz w:val="24"/>
          <w:szCs w:val="24"/>
        </w:rPr>
      </w:pPr>
      <w:r w:rsidRPr="00C52760">
        <w:rPr>
          <w:rFonts w:ascii="Arial" w:hAnsi="Arial" w:cs="Arial"/>
          <w:color w:val="000000" w:themeColor="text1"/>
          <w:sz w:val="24"/>
          <w:szCs w:val="24"/>
        </w:rPr>
        <w:t>Total number of non-elective admissions has increased from 85 in April to 106 in May</w:t>
      </w:r>
    </w:p>
    <w:p w:rsidR="00C00C77" w:rsidRPr="000377B3" w:rsidRDefault="00C00C77" w:rsidP="00C00C77">
      <w:pPr>
        <w:spacing w:after="0" w:line="240" w:lineRule="auto"/>
        <w:ind w:left="-426"/>
        <w:jc w:val="both"/>
        <w:rPr>
          <w:rFonts w:ascii="Arial" w:hAnsi="Arial" w:cs="Arial"/>
          <w:sz w:val="20"/>
          <w:szCs w:val="20"/>
        </w:rPr>
      </w:pPr>
    </w:p>
    <w:p w:rsidR="00C00C77" w:rsidRPr="001C3A18" w:rsidRDefault="00C87EEF" w:rsidP="00C00C77">
      <w:pPr>
        <w:spacing w:after="0" w:line="240" w:lineRule="auto"/>
        <w:ind w:left="-426"/>
        <w:jc w:val="both"/>
        <w:rPr>
          <w:rFonts w:ascii="Arial" w:hAnsi="Arial" w:cs="Arial"/>
          <w:sz w:val="24"/>
          <w:szCs w:val="24"/>
        </w:rPr>
      </w:pPr>
      <w:r w:rsidRPr="001C3A18">
        <w:rPr>
          <w:rFonts w:ascii="Arial" w:hAnsi="Arial" w:cs="Arial"/>
          <w:sz w:val="24"/>
          <w:szCs w:val="24"/>
        </w:rPr>
        <w:t xml:space="preserve">In response to </w:t>
      </w:r>
      <w:r w:rsidR="00C00C77" w:rsidRPr="001C3A18">
        <w:rPr>
          <w:rFonts w:ascii="Arial" w:hAnsi="Arial" w:cs="Arial"/>
          <w:sz w:val="24"/>
          <w:szCs w:val="24"/>
        </w:rPr>
        <w:t xml:space="preserve">an increase in activity </w:t>
      </w:r>
      <w:r w:rsidRPr="001C3A18">
        <w:rPr>
          <w:rFonts w:ascii="Arial" w:hAnsi="Arial" w:cs="Arial"/>
          <w:sz w:val="24"/>
          <w:szCs w:val="24"/>
        </w:rPr>
        <w:t xml:space="preserve">in the IC Directorate </w:t>
      </w:r>
      <w:r w:rsidR="00C00C77" w:rsidRPr="001C3A18">
        <w:rPr>
          <w:rFonts w:ascii="Arial" w:hAnsi="Arial" w:cs="Arial"/>
          <w:sz w:val="24"/>
          <w:szCs w:val="24"/>
        </w:rPr>
        <w:t xml:space="preserve">and </w:t>
      </w:r>
      <w:r w:rsidRPr="001C3A18">
        <w:rPr>
          <w:rFonts w:ascii="Arial" w:hAnsi="Arial" w:cs="Arial"/>
          <w:sz w:val="24"/>
          <w:szCs w:val="24"/>
        </w:rPr>
        <w:t xml:space="preserve">also to comply with </w:t>
      </w:r>
      <w:r w:rsidR="00C00C77" w:rsidRPr="001C3A18">
        <w:rPr>
          <w:rFonts w:ascii="Arial" w:hAnsi="Arial" w:cs="Arial"/>
          <w:sz w:val="24"/>
          <w:szCs w:val="24"/>
        </w:rPr>
        <w:t xml:space="preserve">national </w:t>
      </w:r>
      <w:r w:rsidRPr="001C3A18">
        <w:rPr>
          <w:rFonts w:ascii="Arial" w:hAnsi="Arial" w:cs="Arial"/>
          <w:sz w:val="24"/>
          <w:szCs w:val="24"/>
        </w:rPr>
        <w:t xml:space="preserve">COVID-19 related </w:t>
      </w:r>
      <w:r w:rsidR="00C00C77" w:rsidRPr="001C3A18">
        <w:rPr>
          <w:rFonts w:ascii="Arial" w:hAnsi="Arial" w:cs="Arial"/>
          <w:sz w:val="24"/>
          <w:szCs w:val="24"/>
        </w:rPr>
        <w:t>guidance</w:t>
      </w:r>
      <w:r w:rsidRPr="001C3A18">
        <w:rPr>
          <w:rFonts w:ascii="Arial" w:hAnsi="Arial" w:cs="Arial"/>
          <w:sz w:val="24"/>
          <w:szCs w:val="24"/>
        </w:rPr>
        <w:t>,</w:t>
      </w:r>
      <w:r w:rsidR="00C00C77" w:rsidRPr="001C3A18">
        <w:rPr>
          <w:rFonts w:ascii="Arial" w:hAnsi="Arial" w:cs="Arial"/>
          <w:sz w:val="24"/>
          <w:szCs w:val="24"/>
        </w:rPr>
        <w:t xml:space="preserve"> the following changes have been implemented from the beginning of June:</w:t>
      </w:r>
    </w:p>
    <w:p w:rsidR="00C00C77" w:rsidRPr="00C52760" w:rsidRDefault="00C00C77" w:rsidP="00C52760">
      <w:pPr>
        <w:pStyle w:val="ListParagraph"/>
        <w:numPr>
          <w:ilvl w:val="0"/>
          <w:numId w:val="20"/>
        </w:numPr>
        <w:spacing w:after="0" w:line="240" w:lineRule="auto"/>
        <w:ind w:left="-142" w:hanging="284"/>
        <w:jc w:val="both"/>
        <w:rPr>
          <w:rFonts w:ascii="Arial" w:hAnsi="Arial" w:cs="Arial"/>
          <w:color w:val="000000" w:themeColor="text1"/>
          <w:sz w:val="24"/>
          <w:szCs w:val="24"/>
        </w:rPr>
      </w:pPr>
      <w:r w:rsidRPr="00C52760">
        <w:rPr>
          <w:rFonts w:ascii="Arial" w:hAnsi="Arial" w:cs="Arial"/>
          <w:color w:val="000000" w:themeColor="text1"/>
          <w:sz w:val="24"/>
          <w:szCs w:val="24"/>
        </w:rPr>
        <w:t>Day-case activity has been repatriated back to Sulby Ward</w:t>
      </w:r>
    </w:p>
    <w:p w:rsidR="00C00C77" w:rsidRPr="00C52760" w:rsidRDefault="00C00C77" w:rsidP="00C52760">
      <w:pPr>
        <w:pStyle w:val="ListParagraph"/>
        <w:numPr>
          <w:ilvl w:val="0"/>
          <w:numId w:val="20"/>
        </w:numPr>
        <w:spacing w:after="0" w:line="240" w:lineRule="auto"/>
        <w:ind w:left="-142" w:hanging="284"/>
        <w:jc w:val="both"/>
        <w:rPr>
          <w:rFonts w:ascii="Arial" w:hAnsi="Arial" w:cs="Arial"/>
          <w:color w:val="000000" w:themeColor="text1"/>
          <w:sz w:val="24"/>
          <w:szCs w:val="24"/>
        </w:rPr>
      </w:pPr>
      <w:r w:rsidRPr="00C52760">
        <w:rPr>
          <w:rFonts w:ascii="Arial" w:hAnsi="Arial" w:cs="Arial"/>
          <w:color w:val="000000" w:themeColor="text1"/>
          <w:sz w:val="24"/>
          <w:szCs w:val="24"/>
        </w:rPr>
        <w:t>A total of 9 inpatients beds closed to support social distancing</w:t>
      </w:r>
      <w:r w:rsidR="00E139B3" w:rsidRPr="00C52760">
        <w:rPr>
          <w:rFonts w:ascii="Arial" w:hAnsi="Arial" w:cs="Arial"/>
          <w:color w:val="000000" w:themeColor="text1"/>
          <w:sz w:val="24"/>
          <w:szCs w:val="24"/>
        </w:rPr>
        <w:t xml:space="preserve"> of patients in beds</w:t>
      </w:r>
      <w:r w:rsidRPr="00C52760">
        <w:rPr>
          <w:rFonts w:ascii="Arial" w:hAnsi="Arial" w:cs="Arial"/>
          <w:color w:val="000000" w:themeColor="text1"/>
          <w:sz w:val="24"/>
          <w:szCs w:val="24"/>
        </w:rPr>
        <w:t>.</w:t>
      </w:r>
    </w:p>
    <w:p w:rsidR="00C00C77" w:rsidRPr="001C3A18" w:rsidRDefault="00C00C77" w:rsidP="00C00C77">
      <w:pPr>
        <w:spacing w:after="0" w:line="240" w:lineRule="auto"/>
        <w:jc w:val="both"/>
        <w:rPr>
          <w:rFonts w:ascii="Arial" w:hAnsi="Arial" w:cs="Arial"/>
          <w:sz w:val="24"/>
          <w:szCs w:val="24"/>
        </w:rPr>
      </w:pPr>
    </w:p>
    <w:p w:rsidR="00C00C77" w:rsidRPr="001C3A18" w:rsidRDefault="00C87EEF" w:rsidP="00C00C77">
      <w:pPr>
        <w:spacing w:after="0" w:line="240" w:lineRule="auto"/>
        <w:ind w:left="-426"/>
        <w:jc w:val="both"/>
        <w:rPr>
          <w:rFonts w:ascii="Arial" w:hAnsi="Arial" w:cs="Arial"/>
          <w:sz w:val="24"/>
          <w:szCs w:val="24"/>
        </w:rPr>
      </w:pPr>
      <w:r w:rsidRPr="001C3A18">
        <w:rPr>
          <w:rFonts w:ascii="Arial" w:hAnsi="Arial" w:cs="Arial"/>
          <w:sz w:val="24"/>
          <w:szCs w:val="24"/>
        </w:rPr>
        <w:t xml:space="preserve">The </w:t>
      </w:r>
      <w:r w:rsidR="00C00C77" w:rsidRPr="001C3A18">
        <w:rPr>
          <w:rFonts w:ascii="Arial" w:hAnsi="Arial" w:cs="Arial"/>
          <w:sz w:val="24"/>
          <w:szCs w:val="24"/>
        </w:rPr>
        <w:t xml:space="preserve">CUR Non-Qualifying rate for May was 1%. </w:t>
      </w:r>
      <w:r w:rsidR="0076507F" w:rsidRPr="001C3A18">
        <w:rPr>
          <w:rFonts w:ascii="Arial" w:hAnsi="Arial" w:cs="Arial"/>
          <w:sz w:val="24"/>
          <w:szCs w:val="24"/>
        </w:rPr>
        <w:t>Data from the CUR tool demonstrates patients in beds are receiving an appropriate level of care, requiring in-patient stay.</w:t>
      </w:r>
    </w:p>
    <w:p w:rsidR="00AD26FD" w:rsidRPr="000377B3" w:rsidRDefault="00AD26FD" w:rsidP="00AD26FD">
      <w:pPr>
        <w:spacing w:after="0" w:line="240" w:lineRule="auto"/>
        <w:ind w:left="-426"/>
        <w:jc w:val="both"/>
        <w:rPr>
          <w:rFonts w:ascii="Arial" w:hAnsi="Arial" w:cs="Arial"/>
          <w:sz w:val="20"/>
          <w:szCs w:val="20"/>
          <w:highlight w:val="yellow"/>
        </w:rPr>
      </w:pPr>
    </w:p>
    <w:p w:rsidR="00577999" w:rsidRPr="000377B3" w:rsidRDefault="00577999" w:rsidP="00AD26FD">
      <w:pPr>
        <w:spacing w:after="0" w:line="240" w:lineRule="auto"/>
        <w:ind w:left="-426"/>
        <w:jc w:val="both"/>
        <w:rPr>
          <w:rFonts w:ascii="Arial" w:hAnsi="Arial" w:cs="Arial"/>
          <w:sz w:val="20"/>
          <w:szCs w:val="20"/>
          <w:highlight w:val="yellow"/>
        </w:rPr>
      </w:pPr>
    </w:p>
    <w:tbl>
      <w:tblPr>
        <w:tblW w:w="10115" w:type="dxa"/>
        <w:tblInd w:w="-318" w:type="dxa"/>
        <w:tblBorders>
          <w:top w:val="single" w:sz="12" w:space="0" w:color="4F6228" w:themeColor="accent3" w:themeShade="80"/>
          <w:left w:val="single" w:sz="12" w:space="0" w:color="4F6228" w:themeColor="accent3" w:themeShade="80"/>
          <w:bottom w:val="single" w:sz="12" w:space="0" w:color="4F6228" w:themeColor="accent3" w:themeShade="80"/>
          <w:right w:val="single" w:sz="12" w:space="0" w:color="4F6228" w:themeColor="accent3" w:themeShade="80"/>
        </w:tblBorders>
        <w:shd w:val="clear" w:color="auto" w:fill="FFFFFF" w:themeFill="background1"/>
        <w:tblLook w:val="04A0" w:firstRow="1" w:lastRow="0" w:firstColumn="1" w:lastColumn="0" w:noHBand="0" w:noVBand="1"/>
      </w:tblPr>
      <w:tblGrid>
        <w:gridCol w:w="10115"/>
      </w:tblGrid>
      <w:tr w:rsidR="00921099" w:rsidRPr="00EB4699" w:rsidTr="0090139D">
        <w:trPr>
          <w:trHeight w:hRule="exact" w:val="417"/>
        </w:trPr>
        <w:tc>
          <w:tcPr>
            <w:tcW w:w="10115" w:type="dxa"/>
            <w:shd w:val="clear" w:color="auto" w:fill="8DC63F"/>
            <w:vAlign w:val="center"/>
          </w:tcPr>
          <w:p w:rsidR="00921099" w:rsidRPr="00EB4699" w:rsidRDefault="008F5B4A" w:rsidP="0090139D">
            <w:pPr>
              <w:spacing w:before="60" w:after="60"/>
              <w:ind w:left="-1100"/>
              <w:rPr>
                <w:rFonts w:ascii="Arial" w:hAnsi="Arial" w:cs="Arial"/>
                <w:b/>
                <w:sz w:val="24"/>
                <w:szCs w:val="24"/>
              </w:rPr>
            </w:pPr>
            <w:r w:rsidRPr="00EB4699">
              <w:rPr>
                <w:rFonts w:ascii="Arial" w:hAnsi="Arial" w:cs="Arial"/>
                <w:b/>
                <w:sz w:val="24"/>
                <w:szCs w:val="24"/>
              </w:rPr>
              <w:t xml:space="preserve">                </w:t>
            </w:r>
            <w:r w:rsidR="001800AA" w:rsidRPr="00EB4699">
              <w:rPr>
                <w:rFonts w:ascii="Arial" w:hAnsi="Arial" w:cs="Arial"/>
                <w:b/>
                <w:sz w:val="24"/>
                <w:szCs w:val="24"/>
              </w:rPr>
              <w:t>3</w:t>
            </w:r>
            <w:r w:rsidR="00921099" w:rsidRPr="00EB4699">
              <w:rPr>
                <w:rFonts w:ascii="Arial" w:hAnsi="Arial" w:cs="Arial"/>
                <w:b/>
                <w:sz w:val="24"/>
                <w:szCs w:val="24"/>
              </w:rPr>
              <w:t>.</w:t>
            </w:r>
            <w:r w:rsidR="00263769" w:rsidRPr="00EB4699">
              <w:rPr>
                <w:rFonts w:ascii="Arial" w:hAnsi="Arial" w:cs="Arial"/>
                <w:b/>
                <w:sz w:val="24"/>
                <w:szCs w:val="24"/>
              </w:rPr>
              <w:t>2</w:t>
            </w:r>
            <w:r w:rsidR="001800AA" w:rsidRPr="00EB4699">
              <w:rPr>
                <w:rFonts w:ascii="Arial" w:hAnsi="Arial" w:cs="Arial"/>
                <w:b/>
                <w:sz w:val="24"/>
                <w:szCs w:val="24"/>
              </w:rPr>
              <w:t>.</w:t>
            </w:r>
            <w:r w:rsidR="00263769" w:rsidRPr="00EB4699">
              <w:rPr>
                <w:rFonts w:ascii="Arial" w:hAnsi="Arial" w:cs="Arial"/>
                <w:b/>
                <w:sz w:val="24"/>
                <w:szCs w:val="24"/>
              </w:rPr>
              <w:t>2</w:t>
            </w:r>
            <w:r w:rsidR="00921099" w:rsidRPr="00EB4699">
              <w:rPr>
                <w:rFonts w:ascii="Arial" w:hAnsi="Arial" w:cs="Arial"/>
                <w:b/>
                <w:sz w:val="24"/>
                <w:szCs w:val="24"/>
              </w:rPr>
              <w:t xml:space="preserve"> Radiology Reporting</w:t>
            </w:r>
          </w:p>
        </w:tc>
      </w:tr>
    </w:tbl>
    <w:p w:rsidR="00921099" w:rsidRPr="00EB4699" w:rsidRDefault="00921099" w:rsidP="003B7C91">
      <w:pPr>
        <w:spacing w:after="0" w:line="240" w:lineRule="auto"/>
        <w:ind w:left="-426"/>
        <w:jc w:val="both"/>
        <w:rPr>
          <w:rFonts w:ascii="Arial" w:hAnsi="Arial" w:cs="Arial"/>
          <w:sz w:val="24"/>
          <w:szCs w:val="24"/>
        </w:rPr>
      </w:pPr>
    </w:p>
    <w:p w:rsidR="00862C0A" w:rsidRDefault="00862C0A" w:rsidP="00862C0A">
      <w:pPr>
        <w:spacing w:after="0" w:line="240" w:lineRule="auto"/>
        <w:ind w:left="-426"/>
        <w:jc w:val="both"/>
        <w:rPr>
          <w:rFonts w:ascii="Arial" w:hAnsi="Arial" w:cs="Arial"/>
          <w:sz w:val="24"/>
          <w:szCs w:val="24"/>
        </w:rPr>
      </w:pPr>
      <w:r w:rsidRPr="00EB4699">
        <w:rPr>
          <w:rFonts w:ascii="Arial" w:hAnsi="Arial" w:cs="Arial"/>
          <w:sz w:val="24"/>
          <w:szCs w:val="24"/>
        </w:rPr>
        <w:t xml:space="preserve">This table displays the reporting turnaround times for inpatients and outpatients. </w:t>
      </w:r>
    </w:p>
    <w:p w:rsidR="00EB4699" w:rsidRPr="00EB4699" w:rsidRDefault="00EB4699" w:rsidP="00862C0A">
      <w:pPr>
        <w:spacing w:after="0" w:line="240" w:lineRule="auto"/>
        <w:ind w:left="-426"/>
        <w:jc w:val="both"/>
        <w:rPr>
          <w:rFonts w:ascii="Arial" w:hAnsi="Arial" w:cs="Arial"/>
          <w:sz w:val="24"/>
          <w:szCs w:val="24"/>
        </w:rPr>
      </w:pPr>
      <w:r>
        <w:rPr>
          <w:noProof/>
          <w:lang w:eastAsia="en-GB"/>
        </w:rPr>
        <w:drawing>
          <wp:inline distT="0" distB="0" distL="0" distR="0" wp14:anchorId="0241D4BA" wp14:editId="6FE68369">
            <wp:extent cx="6437645" cy="1044054"/>
            <wp:effectExtent l="0" t="0" r="1270" b="381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6449441" cy="1045967"/>
                    </a:xfrm>
                    <a:prstGeom prst="rect">
                      <a:avLst/>
                    </a:prstGeom>
                  </pic:spPr>
                </pic:pic>
              </a:graphicData>
            </a:graphic>
          </wp:inline>
        </w:drawing>
      </w:r>
    </w:p>
    <w:p w:rsidR="00D061B0" w:rsidRPr="000377B3" w:rsidRDefault="00D061B0" w:rsidP="00862C0A">
      <w:pPr>
        <w:spacing w:after="0" w:line="240" w:lineRule="auto"/>
        <w:ind w:left="-426"/>
        <w:jc w:val="both"/>
        <w:rPr>
          <w:rFonts w:ascii="Arial" w:hAnsi="Arial" w:cs="Arial"/>
          <w:sz w:val="20"/>
          <w:szCs w:val="20"/>
          <w:highlight w:val="yellow"/>
        </w:rPr>
      </w:pPr>
    </w:p>
    <w:p w:rsidR="00EB4699" w:rsidRDefault="00EB4699" w:rsidP="00EB4699">
      <w:pPr>
        <w:spacing w:after="0" w:line="240" w:lineRule="auto"/>
        <w:ind w:left="-426"/>
        <w:jc w:val="both"/>
        <w:rPr>
          <w:rFonts w:ascii="Arial" w:hAnsi="Arial" w:cs="Arial"/>
          <w:sz w:val="24"/>
          <w:szCs w:val="12"/>
        </w:rPr>
      </w:pPr>
      <w:r w:rsidRPr="00EB4699">
        <w:rPr>
          <w:rFonts w:ascii="Arial" w:hAnsi="Arial" w:cs="Arial"/>
          <w:sz w:val="24"/>
          <w:szCs w:val="12"/>
        </w:rPr>
        <w:t xml:space="preserve">Activity levels for MRI and CT scanning are now back to normal following an initial dip due to the COVID-19 </w:t>
      </w:r>
      <w:r>
        <w:rPr>
          <w:rFonts w:ascii="Arial" w:hAnsi="Arial" w:cs="Arial"/>
          <w:sz w:val="24"/>
          <w:szCs w:val="12"/>
        </w:rPr>
        <w:t>pandemic</w:t>
      </w:r>
      <w:r w:rsidRPr="00EB4699">
        <w:rPr>
          <w:rFonts w:ascii="Arial" w:hAnsi="Arial" w:cs="Arial"/>
          <w:sz w:val="24"/>
          <w:szCs w:val="12"/>
        </w:rPr>
        <w:t>. We have also seen an improvement in turnaround time across the board. The change in practice to radiologists working from home more is now embedded and should continue post COVID-19.</w:t>
      </w:r>
    </w:p>
    <w:p w:rsidR="00EB4699" w:rsidRPr="000377B3" w:rsidRDefault="00EB4699" w:rsidP="00EB4699">
      <w:pPr>
        <w:spacing w:after="0" w:line="240" w:lineRule="auto"/>
        <w:ind w:left="-426"/>
        <w:jc w:val="both"/>
        <w:rPr>
          <w:rFonts w:ascii="Arial" w:hAnsi="Arial" w:cs="Arial"/>
          <w:sz w:val="20"/>
          <w:szCs w:val="20"/>
        </w:rPr>
      </w:pPr>
    </w:p>
    <w:p w:rsidR="00EB4699" w:rsidRPr="00EB4699" w:rsidRDefault="00EB4699" w:rsidP="00EB4699">
      <w:pPr>
        <w:spacing w:after="0" w:line="240" w:lineRule="auto"/>
        <w:ind w:left="-426"/>
        <w:jc w:val="both"/>
        <w:rPr>
          <w:rFonts w:ascii="Arial" w:hAnsi="Arial" w:cs="Arial"/>
          <w:sz w:val="24"/>
          <w:szCs w:val="12"/>
        </w:rPr>
      </w:pPr>
      <w:r w:rsidRPr="00EB4699">
        <w:rPr>
          <w:rFonts w:ascii="Arial" w:hAnsi="Arial" w:cs="Arial"/>
          <w:sz w:val="24"/>
          <w:szCs w:val="12"/>
        </w:rPr>
        <w:t>An additional radiologist was recruited in December 2019, though they will not comme</w:t>
      </w:r>
      <w:r>
        <w:rPr>
          <w:rFonts w:ascii="Arial" w:hAnsi="Arial" w:cs="Arial"/>
          <w:sz w:val="24"/>
          <w:szCs w:val="12"/>
        </w:rPr>
        <w:t xml:space="preserve">nce in post for several months and </w:t>
      </w:r>
      <w:r w:rsidRPr="00EB4699">
        <w:rPr>
          <w:rFonts w:ascii="Arial" w:hAnsi="Arial" w:cs="Arial"/>
          <w:sz w:val="24"/>
          <w:szCs w:val="12"/>
        </w:rPr>
        <w:t>this has been further delayed due to COVID and the inability for the candidate to travel to comple</w:t>
      </w:r>
      <w:r>
        <w:rPr>
          <w:rFonts w:ascii="Arial" w:hAnsi="Arial" w:cs="Arial"/>
          <w:sz w:val="24"/>
          <w:szCs w:val="12"/>
        </w:rPr>
        <w:t>te an essential examination</w:t>
      </w:r>
      <w:r w:rsidRPr="00EB4699">
        <w:rPr>
          <w:rFonts w:ascii="Arial" w:hAnsi="Arial" w:cs="Arial"/>
          <w:sz w:val="24"/>
          <w:szCs w:val="12"/>
        </w:rPr>
        <w:t>. Further interviews will take place for another radiologist as soon as possible (postponed due to COVID-19).</w:t>
      </w:r>
    </w:p>
    <w:p w:rsidR="00EB4699" w:rsidRPr="000377B3" w:rsidRDefault="00EB4699" w:rsidP="00EB4699">
      <w:pPr>
        <w:spacing w:after="0" w:line="240" w:lineRule="auto"/>
        <w:ind w:left="-426"/>
        <w:jc w:val="both"/>
        <w:rPr>
          <w:rFonts w:ascii="Arial" w:hAnsi="Arial" w:cs="Arial"/>
          <w:sz w:val="20"/>
          <w:szCs w:val="20"/>
        </w:rPr>
      </w:pPr>
    </w:p>
    <w:p w:rsidR="00EB4699" w:rsidRPr="00EB4699" w:rsidRDefault="00EB4699" w:rsidP="00EB4699">
      <w:pPr>
        <w:spacing w:after="0" w:line="240" w:lineRule="auto"/>
        <w:ind w:left="-426"/>
        <w:jc w:val="both"/>
        <w:rPr>
          <w:rFonts w:ascii="Arial" w:hAnsi="Arial" w:cs="Arial"/>
          <w:sz w:val="24"/>
          <w:szCs w:val="12"/>
        </w:rPr>
      </w:pPr>
      <w:r>
        <w:rPr>
          <w:rFonts w:ascii="Arial" w:hAnsi="Arial" w:cs="Arial"/>
          <w:sz w:val="24"/>
          <w:szCs w:val="12"/>
        </w:rPr>
        <w:t>The inpatient</w:t>
      </w:r>
      <w:r w:rsidRPr="00EB4699">
        <w:rPr>
          <w:rFonts w:ascii="Arial" w:hAnsi="Arial" w:cs="Arial"/>
          <w:sz w:val="24"/>
          <w:szCs w:val="12"/>
        </w:rPr>
        <w:t xml:space="preserve"> target of 90% within twenty four hours was achieved </w:t>
      </w:r>
      <w:r>
        <w:rPr>
          <w:rFonts w:ascii="Arial" w:hAnsi="Arial" w:cs="Arial"/>
          <w:sz w:val="24"/>
          <w:szCs w:val="12"/>
        </w:rPr>
        <w:t xml:space="preserve">in May </w:t>
      </w:r>
      <w:r w:rsidRPr="00EB4699">
        <w:rPr>
          <w:rFonts w:ascii="Arial" w:hAnsi="Arial" w:cs="Arial"/>
          <w:sz w:val="24"/>
          <w:szCs w:val="12"/>
        </w:rPr>
        <w:t>(99.5%) and we continue to monitor to ensure the correct urgency codes are used at all times.</w:t>
      </w:r>
    </w:p>
    <w:p w:rsidR="00EB4699" w:rsidRPr="000377B3" w:rsidRDefault="00EB4699" w:rsidP="00EB4699">
      <w:pPr>
        <w:spacing w:after="0" w:line="240" w:lineRule="auto"/>
        <w:ind w:left="-426"/>
        <w:jc w:val="both"/>
        <w:rPr>
          <w:rFonts w:ascii="Arial" w:hAnsi="Arial" w:cs="Arial"/>
          <w:sz w:val="20"/>
          <w:szCs w:val="20"/>
        </w:rPr>
      </w:pPr>
    </w:p>
    <w:p w:rsidR="00577999" w:rsidRPr="00EC19F3" w:rsidRDefault="00EB4699" w:rsidP="00EB4699">
      <w:pPr>
        <w:spacing w:after="0" w:line="240" w:lineRule="auto"/>
        <w:ind w:left="-426"/>
        <w:jc w:val="both"/>
        <w:rPr>
          <w:rFonts w:ascii="Arial" w:hAnsi="Arial" w:cs="Arial"/>
          <w:sz w:val="28"/>
          <w:szCs w:val="28"/>
          <w:highlight w:val="yellow"/>
        </w:rPr>
      </w:pPr>
      <w:r w:rsidRPr="00EB4699">
        <w:rPr>
          <w:rFonts w:ascii="Arial" w:hAnsi="Arial" w:cs="Arial"/>
          <w:sz w:val="24"/>
          <w:szCs w:val="12"/>
        </w:rPr>
        <w:t>The outpatient target has shown a sustained improvement, with 98% for May. Turnaround times will continue to be closely monitored</w:t>
      </w:r>
    </w:p>
    <w:p w:rsidR="00577999" w:rsidRPr="000377B3" w:rsidRDefault="00577999">
      <w:pPr>
        <w:rPr>
          <w:rFonts w:ascii="Arial" w:hAnsi="Arial" w:cs="Arial"/>
          <w:sz w:val="20"/>
          <w:szCs w:val="20"/>
          <w:highlight w:val="yellow"/>
        </w:rPr>
      </w:pPr>
    </w:p>
    <w:tbl>
      <w:tblPr>
        <w:tblW w:w="10411" w:type="dxa"/>
        <w:tblInd w:w="-318" w:type="dxa"/>
        <w:tblBorders>
          <w:top w:val="single" w:sz="12" w:space="0" w:color="4F6228" w:themeColor="accent3" w:themeShade="80"/>
          <w:left w:val="single" w:sz="12" w:space="0" w:color="4F6228" w:themeColor="accent3" w:themeShade="80"/>
          <w:bottom w:val="single" w:sz="12" w:space="0" w:color="4F6228" w:themeColor="accent3" w:themeShade="80"/>
          <w:right w:val="single" w:sz="12" w:space="0" w:color="4F6228" w:themeColor="accent3" w:themeShade="80"/>
        </w:tblBorders>
        <w:shd w:val="clear" w:color="auto" w:fill="FFFFFF" w:themeFill="background1"/>
        <w:tblCellMar>
          <w:left w:w="170" w:type="dxa"/>
          <w:right w:w="227" w:type="dxa"/>
        </w:tblCellMar>
        <w:tblLook w:val="04A0" w:firstRow="1" w:lastRow="0" w:firstColumn="1" w:lastColumn="0" w:noHBand="0" w:noVBand="1"/>
      </w:tblPr>
      <w:tblGrid>
        <w:gridCol w:w="10411"/>
      </w:tblGrid>
      <w:tr w:rsidR="00921099" w:rsidRPr="00EC19F3" w:rsidTr="00A4139F">
        <w:trPr>
          <w:trHeight w:hRule="exact" w:val="434"/>
        </w:trPr>
        <w:tc>
          <w:tcPr>
            <w:tcW w:w="10411" w:type="dxa"/>
            <w:shd w:val="clear" w:color="auto" w:fill="8DC63F"/>
          </w:tcPr>
          <w:p w:rsidR="00921099" w:rsidRPr="00EB4699" w:rsidRDefault="001800AA" w:rsidP="0090139D">
            <w:pPr>
              <w:spacing w:before="60" w:after="60" w:line="240" w:lineRule="auto"/>
              <w:ind w:left="-992"/>
              <w:rPr>
                <w:rFonts w:ascii="Arial" w:hAnsi="Arial" w:cs="Arial"/>
                <w:b/>
                <w:sz w:val="24"/>
                <w:szCs w:val="24"/>
              </w:rPr>
            </w:pPr>
            <w:r w:rsidRPr="00EB4699">
              <w:rPr>
                <w:rFonts w:ascii="Arial" w:hAnsi="Arial" w:cs="Arial"/>
                <w:b/>
                <w:sz w:val="24"/>
                <w:szCs w:val="24"/>
              </w:rPr>
              <w:t>3</w:t>
            </w:r>
            <w:r w:rsidR="00921099" w:rsidRPr="00EB4699">
              <w:rPr>
                <w:rFonts w:ascii="Arial" w:hAnsi="Arial" w:cs="Arial"/>
                <w:b/>
                <w:sz w:val="24"/>
                <w:szCs w:val="24"/>
              </w:rPr>
              <w:t>.</w:t>
            </w:r>
            <w:r w:rsidRPr="00EB4699">
              <w:rPr>
                <w:rFonts w:ascii="Arial" w:hAnsi="Arial" w:cs="Arial"/>
                <w:b/>
                <w:sz w:val="24"/>
                <w:szCs w:val="24"/>
              </w:rPr>
              <w:t>1.</w:t>
            </w:r>
            <w:r w:rsidR="00F72928" w:rsidRPr="00EB4699">
              <w:rPr>
                <w:rFonts w:ascii="Arial" w:hAnsi="Arial" w:cs="Arial"/>
                <w:b/>
                <w:sz w:val="24"/>
                <w:szCs w:val="24"/>
              </w:rPr>
              <w:t>5</w:t>
            </w:r>
            <w:r w:rsidR="00921099" w:rsidRPr="00EB4699">
              <w:rPr>
                <w:rFonts w:ascii="Arial" w:hAnsi="Arial" w:cs="Arial"/>
                <w:b/>
                <w:sz w:val="24"/>
                <w:szCs w:val="24"/>
              </w:rPr>
              <w:t xml:space="preserve"> </w:t>
            </w:r>
            <w:r w:rsidR="00263769" w:rsidRPr="00EB4699">
              <w:rPr>
                <w:rFonts w:ascii="Arial" w:hAnsi="Arial" w:cs="Arial"/>
                <w:b/>
                <w:sz w:val="24"/>
                <w:szCs w:val="24"/>
              </w:rPr>
              <w:t xml:space="preserve">    </w:t>
            </w:r>
            <w:r w:rsidR="00E716C2" w:rsidRPr="00EB4699">
              <w:rPr>
                <w:rFonts w:ascii="Arial" w:hAnsi="Arial" w:cs="Arial"/>
                <w:b/>
                <w:sz w:val="24"/>
                <w:szCs w:val="24"/>
              </w:rPr>
              <w:t>3.2.3</w:t>
            </w:r>
            <w:r w:rsidR="00321BC4" w:rsidRPr="00EB4699">
              <w:rPr>
                <w:rFonts w:ascii="Arial" w:hAnsi="Arial" w:cs="Arial"/>
                <w:b/>
                <w:sz w:val="24"/>
                <w:szCs w:val="24"/>
              </w:rPr>
              <w:t xml:space="preserve"> </w:t>
            </w:r>
            <w:r w:rsidR="00921099" w:rsidRPr="00EB4699">
              <w:rPr>
                <w:rFonts w:ascii="Arial" w:hAnsi="Arial" w:cs="Arial"/>
                <w:b/>
                <w:sz w:val="24"/>
                <w:szCs w:val="24"/>
              </w:rPr>
              <w:t>Patients receiving treatment closer to home</w:t>
            </w:r>
          </w:p>
        </w:tc>
      </w:tr>
    </w:tbl>
    <w:p w:rsidR="00577999" w:rsidRPr="00EC19F3" w:rsidRDefault="00577999" w:rsidP="00577999">
      <w:pPr>
        <w:spacing w:after="0" w:line="240" w:lineRule="auto"/>
        <w:ind w:left="-426"/>
        <w:jc w:val="both"/>
        <w:rPr>
          <w:rFonts w:ascii="Arial" w:hAnsi="Arial" w:cs="Arial"/>
          <w:b/>
          <w:noProof/>
          <w:sz w:val="24"/>
          <w:highlight w:val="yellow"/>
          <w:lang w:eastAsia="en-GB"/>
        </w:rPr>
      </w:pPr>
    </w:p>
    <w:p w:rsidR="00967C30" w:rsidRPr="00EB4699" w:rsidRDefault="00967C30" w:rsidP="001C3A18">
      <w:pPr>
        <w:ind w:left="-426"/>
        <w:jc w:val="both"/>
        <w:rPr>
          <w:rFonts w:ascii="Arial" w:hAnsi="Arial" w:cs="Arial"/>
          <w:sz w:val="24"/>
          <w:szCs w:val="24"/>
        </w:rPr>
      </w:pPr>
      <w:r w:rsidRPr="00EB4699">
        <w:rPr>
          <w:rFonts w:ascii="Arial" w:hAnsi="Arial" w:cs="Arial"/>
          <w:sz w:val="24"/>
          <w:szCs w:val="24"/>
        </w:rPr>
        <w:t xml:space="preserve">CCC delivers Systemic Anti-Cancer Treatment (SACT) therapies across the sector hub model to provide access to treatment closer to home. The Chemotherapy Directorate consistently achieve </w:t>
      </w:r>
      <w:r w:rsidR="00011DFB" w:rsidRPr="00EB4699">
        <w:rPr>
          <w:rFonts w:ascii="Arial" w:hAnsi="Arial" w:cs="Arial"/>
          <w:sz w:val="24"/>
          <w:szCs w:val="24"/>
        </w:rPr>
        <w:t>the target.</w:t>
      </w:r>
    </w:p>
    <w:p w:rsidR="00A05769" w:rsidRPr="00EB4699" w:rsidRDefault="007E3A92" w:rsidP="003B7C91">
      <w:pPr>
        <w:spacing w:after="0" w:line="240" w:lineRule="auto"/>
        <w:ind w:left="-426"/>
        <w:jc w:val="both"/>
        <w:rPr>
          <w:rFonts w:ascii="Arial" w:hAnsi="Arial" w:cs="Arial"/>
          <w:sz w:val="24"/>
          <w:szCs w:val="24"/>
        </w:rPr>
      </w:pPr>
      <w:r w:rsidRPr="00EB4699">
        <w:rPr>
          <w:rFonts w:ascii="Arial" w:hAnsi="Arial" w:cs="Arial"/>
          <w:sz w:val="24"/>
          <w:szCs w:val="24"/>
        </w:rPr>
        <w:t xml:space="preserve">Data for </w:t>
      </w:r>
      <w:r w:rsidR="00EB4699">
        <w:rPr>
          <w:rFonts w:ascii="Arial" w:hAnsi="Arial" w:cs="Arial"/>
          <w:sz w:val="24"/>
          <w:szCs w:val="24"/>
        </w:rPr>
        <w:t>the last 12 months</w:t>
      </w:r>
      <w:r w:rsidRPr="00EB4699">
        <w:rPr>
          <w:rFonts w:ascii="Arial" w:hAnsi="Arial" w:cs="Arial"/>
          <w:sz w:val="24"/>
          <w:szCs w:val="24"/>
        </w:rPr>
        <w:t xml:space="preserve"> is displayed in the table below:</w:t>
      </w:r>
    </w:p>
    <w:p w:rsidR="00030052" w:rsidRPr="00EC19F3" w:rsidRDefault="00030052" w:rsidP="003B7C91">
      <w:pPr>
        <w:spacing w:after="0" w:line="240" w:lineRule="auto"/>
        <w:ind w:left="-426"/>
        <w:jc w:val="both"/>
        <w:rPr>
          <w:rFonts w:ascii="Arial" w:hAnsi="Arial" w:cs="Arial"/>
          <w:sz w:val="12"/>
          <w:szCs w:val="12"/>
          <w:highlight w:val="yellow"/>
        </w:rPr>
      </w:pPr>
    </w:p>
    <w:p w:rsidR="00743936" w:rsidRPr="00EC19F3" w:rsidRDefault="00EB4699" w:rsidP="00990306">
      <w:pPr>
        <w:spacing w:after="0" w:line="240" w:lineRule="auto"/>
        <w:ind w:left="-426"/>
        <w:rPr>
          <w:rFonts w:ascii="Arial" w:eastAsia="Calibri" w:hAnsi="Arial" w:cs="Arial"/>
          <w:b/>
          <w:bCs/>
          <w:sz w:val="28"/>
          <w:szCs w:val="28"/>
          <w:highlight w:val="yellow"/>
        </w:rPr>
      </w:pPr>
      <w:r>
        <w:rPr>
          <w:noProof/>
          <w:lang w:eastAsia="en-GB"/>
        </w:rPr>
        <w:lastRenderedPageBreak/>
        <w:drawing>
          <wp:inline distT="0" distB="0" distL="0" distR="0" wp14:anchorId="7DD718CF" wp14:editId="66A3CE35">
            <wp:extent cx="6537278" cy="661411"/>
            <wp:effectExtent l="0" t="0" r="0" b="571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stretch>
                      <a:fillRect/>
                    </a:stretch>
                  </pic:blipFill>
                  <pic:spPr>
                    <a:xfrm>
                      <a:off x="0" y="0"/>
                      <a:ext cx="6546467" cy="662341"/>
                    </a:xfrm>
                    <a:prstGeom prst="rect">
                      <a:avLst/>
                    </a:prstGeom>
                  </pic:spPr>
                </pic:pic>
              </a:graphicData>
            </a:graphic>
          </wp:inline>
        </w:drawing>
      </w:r>
    </w:p>
    <w:p w:rsidR="00A36BA4" w:rsidRDefault="00A36BA4" w:rsidP="00990306">
      <w:pPr>
        <w:spacing w:after="0" w:line="240" w:lineRule="auto"/>
        <w:ind w:left="-426"/>
        <w:rPr>
          <w:rFonts w:ascii="Arial" w:eastAsia="Calibri" w:hAnsi="Arial" w:cs="Arial"/>
          <w:b/>
          <w:bCs/>
          <w:sz w:val="32"/>
          <w:szCs w:val="32"/>
        </w:rPr>
      </w:pPr>
    </w:p>
    <w:p w:rsidR="00A36BA4" w:rsidRDefault="00A36BA4" w:rsidP="00990306">
      <w:pPr>
        <w:spacing w:after="0" w:line="240" w:lineRule="auto"/>
        <w:ind w:left="-426"/>
        <w:rPr>
          <w:rFonts w:ascii="Arial" w:eastAsia="Calibri" w:hAnsi="Arial" w:cs="Arial"/>
          <w:b/>
          <w:bCs/>
          <w:sz w:val="32"/>
          <w:szCs w:val="32"/>
        </w:rPr>
      </w:pPr>
    </w:p>
    <w:p w:rsidR="0010158B" w:rsidRPr="00EB4699" w:rsidRDefault="0085699D" w:rsidP="00990306">
      <w:pPr>
        <w:spacing w:after="0" w:line="240" w:lineRule="auto"/>
        <w:ind w:left="-426"/>
        <w:rPr>
          <w:rFonts w:ascii="Arial" w:eastAsia="Calibri" w:hAnsi="Arial" w:cs="Arial"/>
          <w:b/>
          <w:bCs/>
          <w:sz w:val="32"/>
          <w:szCs w:val="32"/>
        </w:rPr>
      </w:pPr>
      <w:r>
        <w:rPr>
          <w:rFonts w:ascii="Arial" w:eastAsia="Calibri" w:hAnsi="Arial" w:cs="Arial"/>
          <w:b/>
          <w:bCs/>
          <w:sz w:val="32"/>
          <w:szCs w:val="32"/>
        </w:rPr>
        <w:t>3.3</w:t>
      </w:r>
      <w:r w:rsidR="001800AA" w:rsidRPr="00EB4699">
        <w:rPr>
          <w:rFonts w:ascii="Arial" w:eastAsia="Calibri" w:hAnsi="Arial" w:cs="Arial"/>
          <w:b/>
          <w:bCs/>
          <w:sz w:val="32"/>
          <w:szCs w:val="32"/>
        </w:rPr>
        <w:t xml:space="preserve"> </w:t>
      </w:r>
      <w:r w:rsidR="00024E1E" w:rsidRPr="00EB4699">
        <w:rPr>
          <w:rFonts w:ascii="Arial" w:eastAsia="Calibri" w:hAnsi="Arial" w:cs="Arial"/>
          <w:b/>
          <w:bCs/>
          <w:sz w:val="32"/>
          <w:szCs w:val="32"/>
        </w:rPr>
        <w:t>Quality</w:t>
      </w:r>
    </w:p>
    <w:p w:rsidR="00DA73B2" w:rsidRPr="00EB4699" w:rsidRDefault="00DA73B2" w:rsidP="00577999">
      <w:pPr>
        <w:spacing w:after="0" w:line="240" w:lineRule="auto"/>
        <w:ind w:left="-426"/>
        <w:jc w:val="both"/>
        <w:rPr>
          <w:rFonts w:ascii="Arial" w:hAnsi="Arial" w:cs="Arial"/>
          <w:b/>
          <w:noProof/>
          <w:sz w:val="24"/>
          <w:lang w:eastAsia="en-GB"/>
        </w:rPr>
      </w:pPr>
    </w:p>
    <w:p w:rsidR="00AD26FD" w:rsidRDefault="00AD26FD" w:rsidP="005B70E2">
      <w:pPr>
        <w:spacing w:after="0" w:line="240" w:lineRule="auto"/>
        <w:ind w:left="-426"/>
        <w:jc w:val="both"/>
        <w:rPr>
          <w:rFonts w:ascii="Arial" w:hAnsi="Arial" w:cs="Arial"/>
          <w:sz w:val="24"/>
          <w:szCs w:val="24"/>
        </w:rPr>
      </w:pPr>
      <w:r w:rsidRPr="00EB4699">
        <w:rPr>
          <w:rFonts w:ascii="Arial" w:hAnsi="Arial" w:cs="Arial"/>
          <w:sz w:val="24"/>
          <w:szCs w:val="24"/>
        </w:rPr>
        <w:t>Please see the quality scorecard in section 1 and the quality exception reports in section 2</w:t>
      </w:r>
      <w:r w:rsidR="00E716C2" w:rsidRPr="00EB4699">
        <w:rPr>
          <w:rFonts w:ascii="Arial" w:hAnsi="Arial" w:cs="Arial"/>
          <w:sz w:val="24"/>
          <w:szCs w:val="24"/>
        </w:rPr>
        <w:t xml:space="preserve"> for details of non-compliance and actions in place to improve performance</w:t>
      </w:r>
      <w:r w:rsidR="00EB4699" w:rsidRPr="00EB4699">
        <w:rPr>
          <w:rFonts w:ascii="Arial" w:hAnsi="Arial" w:cs="Arial"/>
          <w:sz w:val="24"/>
          <w:szCs w:val="24"/>
        </w:rPr>
        <w:t xml:space="preserve"> </w:t>
      </w:r>
      <w:r w:rsidR="00EB4699">
        <w:rPr>
          <w:rFonts w:ascii="Arial" w:hAnsi="Arial" w:cs="Arial"/>
          <w:sz w:val="24"/>
          <w:szCs w:val="24"/>
        </w:rPr>
        <w:t>for</w:t>
      </w:r>
      <w:r w:rsidR="00EB4699" w:rsidRPr="00EB4699">
        <w:rPr>
          <w:rFonts w:ascii="Arial" w:hAnsi="Arial" w:cs="Arial"/>
          <w:sz w:val="24"/>
          <w:szCs w:val="24"/>
        </w:rPr>
        <w:t xml:space="preserve"> quality KPIs</w:t>
      </w:r>
      <w:r w:rsidRPr="00EB4699">
        <w:rPr>
          <w:rFonts w:ascii="Arial" w:hAnsi="Arial" w:cs="Arial"/>
          <w:sz w:val="24"/>
          <w:szCs w:val="24"/>
        </w:rPr>
        <w:t>.</w:t>
      </w:r>
    </w:p>
    <w:p w:rsidR="00577999" w:rsidRPr="00EB4699" w:rsidRDefault="002E1374" w:rsidP="005B70E2">
      <w:pPr>
        <w:spacing w:after="0" w:line="240" w:lineRule="auto"/>
        <w:ind w:left="-426"/>
        <w:jc w:val="both"/>
        <w:rPr>
          <w:rFonts w:ascii="Arial" w:eastAsia="Calibri" w:hAnsi="Arial" w:cs="Arial"/>
          <w:b/>
          <w:bCs/>
          <w:sz w:val="28"/>
          <w:szCs w:val="28"/>
        </w:rPr>
      </w:pPr>
      <w:r w:rsidRPr="006E0FC6">
        <w:rPr>
          <w:rFonts w:ascii="Arial" w:eastAsia="Calibri" w:hAnsi="Arial" w:cs="Arial"/>
          <w:bCs/>
          <w:sz w:val="24"/>
          <w:szCs w:val="32"/>
        </w:rPr>
        <w:t>Quality Committee</w:t>
      </w:r>
      <w:r w:rsidRPr="006E0FC6">
        <w:rPr>
          <w:sz w:val="18"/>
        </w:rPr>
        <w:t xml:space="preserve"> </w:t>
      </w:r>
      <w:r w:rsidRPr="006E0FC6">
        <w:rPr>
          <w:rFonts w:ascii="Arial" w:eastAsia="Calibri" w:hAnsi="Arial" w:cs="Arial"/>
          <w:bCs/>
          <w:sz w:val="24"/>
          <w:szCs w:val="32"/>
        </w:rPr>
        <w:t>receive</w:t>
      </w:r>
      <w:r w:rsidR="005B70E2">
        <w:rPr>
          <w:rFonts w:ascii="Arial" w:eastAsia="Calibri" w:hAnsi="Arial" w:cs="Arial"/>
          <w:bCs/>
          <w:sz w:val="24"/>
          <w:szCs w:val="32"/>
        </w:rPr>
        <w:t>d</w:t>
      </w:r>
      <w:r w:rsidRPr="006E0FC6">
        <w:rPr>
          <w:rFonts w:ascii="Arial" w:eastAsia="Calibri" w:hAnsi="Arial" w:cs="Arial"/>
          <w:bCs/>
          <w:sz w:val="24"/>
          <w:szCs w:val="32"/>
        </w:rPr>
        <w:t xml:space="preserve"> </w:t>
      </w:r>
      <w:r w:rsidR="005B70E2">
        <w:rPr>
          <w:rFonts w:ascii="Arial" w:eastAsia="Calibri" w:hAnsi="Arial" w:cs="Arial"/>
          <w:bCs/>
          <w:sz w:val="24"/>
          <w:szCs w:val="32"/>
        </w:rPr>
        <w:t>a series of additional papers</w:t>
      </w:r>
      <w:r w:rsidRPr="006E0FC6">
        <w:rPr>
          <w:rFonts w:ascii="Arial" w:eastAsia="Calibri" w:hAnsi="Arial" w:cs="Arial"/>
          <w:bCs/>
          <w:sz w:val="24"/>
          <w:szCs w:val="32"/>
        </w:rPr>
        <w:t xml:space="preserve"> that provide the details of any challenges regarding performance.</w:t>
      </w:r>
    </w:p>
    <w:p w:rsidR="00577999" w:rsidRPr="00EC19F3" w:rsidRDefault="00577999" w:rsidP="001C3A18">
      <w:pPr>
        <w:spacing w:after="0" w:line="240" w:lineRule="auto"/>
        <w:ind w:left="-426"/>
        <w:jc w:val="both"/>
        <w:rPr>
          <w:rFonts w:ascii="Arial" w:eastAsia="Calibri" w:hAnsi="Arial" w:cs="Arial"/>
          <w:b/>
          <w:bCs/>
          <w:sz w:val="28"/>
          <w:szCs w:val="28"/>
          <w:highlight w:val="yellow"/>
        </w:rPr>
      </w:pPr>
    </w:p>
    <w:p w:rsidR="00FC4E6D" w:rsidRPr="00EC19F3" w:rsidRDefault="00FC4E6D" w:rsidP="00787BFA">
      <w:pPr>
        <w:spacing w:after="0" w:line="240" w:lineRule="auto"/>
        <w:ind w:left="-426"/>
        <w:jc w:val="both"/>
        <w:rPr>
          <w:rFonts w:ascii="Arial" w:hAnsi="Arial" w:cs="Arial"/>
          <w:sz w:val="2"/>
          <w:szCs w:val="20"/>
          <w:highlight w:val="yellow"/>
        </w:rPr>
      </w:pPr>
    </w:p>
    <w:p w:rsidR="00A36BA4" w:rsidRDefault="00A36BA4" w:rsidP="00787BFA">
      <w:pPr>
        <w:spacing w:after="0" w:line="240" w:lineRule="auto"/>
        <w:ind w:left="-426"/>
        <w:jc w:val="both"/>
        <w:rPr>
          <w:rFonts w:ascii="Arial" w:hAnsi="Arial" w:cs="Arial"/>
          <w:b/>
          <w:sz w:val="32"/>
        </w:rPr>
      </w:pPr>
    </w:p>
    <w:p w:rsidR="00EB5228" w:rsidRPr="00B63102" w:rsidRDefault="001800AA" w:rsidP="00787BFA">
      <w:pPr>
        <w:spacing w:after="0" w:line="240" w:lineRule="auto"/>
        <w:ind w:left="-426"/>
        <w:jc w:val="both"/>
        <w:rPr>
          <w:rFonts w:ascii="Arial" w:hAnsi="Arial" w:cs="Arial"/>
          <w:b/>
          <w:sz w:val="32"/>
        </w:rPr>
      </w:pPr>
      <w:r w:rsidRPr="00B63102">
        <w:rPr>
          <w:rFonts w:ascii="Arial" w:hAnsi="Arial" w:cs="Arial"/>
          <w:b/>
          <w:sz w:val="32"/>
        </w:rPr>
        <w:t>3.</w:t>
      </w:r>
      <w:r w:rsidR="0085699D">
        <w:rPr>
          <w:rFonts w:ascii="Arial" w:hAnsi="Arial" w:cs="Arial"/>
          <w:b/>
          <w:sz w:val="32"/>
        </w:rPr>
        <w:t>4</w:t>
      </w:r>
      <w:r w:rsidRPr="00B63102">
        <w:rPr>
          <w:rFonts w:ascii="Arial" w:hAnsi="Arial" w:cs="Arial"/>
          <w:b/>
          <w:sz w:val="32"/>
        </w:rPr>
        <w:t xml:space="preserve"> </w:t>
      </w:r>
      <w:r w:rsidR="00024E1E" w:rsidRPr="00B63102">
        <w:rPr>
          <w:rFonts w:ascii="Arial" w:hAnsi="Arial" w:cs="Arial"/>
          <w:b/>
          <w:sz w:val="32"/>
        </w:rPr>
        <w:t>Research and Innovation</w:t>
      </w:r>
      <w:r w:rsidR="00B4287C" w:rsidRPr="00B63102">
        <w:rPr>
          <w:rFonts w:ascii="Arial" w:hAnsi="Arial" w:cs="Arial"/>
          <w:b/>
          <w:sz w:val="32"/>
        </w:rPr>
        <w:t xml:space="preserve"> </w:t>
      </w:r>
    </w:p>
    <w:p w:rsidR="00C23712" w:rsidRPr="00B63102" w:rsidRDefault="00C23712" w:rsidP="00787BFA">
      <w:pPr>
        <w:spacing w:after="0" w:line="240" w:lineRule="auto"/>
        <w:ind w:left="-426"/>
        <w:jc w:val="both"/>
        <w:rPr>
          <w:rFonts w:ascii="Arial" w:hAnsi="Arial" w:cs="Arial"/>
          <w:b/>
          <w:noProof/>
          <w:sz w:val="24"/>
          <w:lang w:eastAsia="en-GB"/>
        </w:rPr>
      </w:pPr>
    </w:p>
    <w:tbl>
      <w:tblPr>
        <w:tblW w:w="10349" w:type="dxa"/>
        <w:tblInd w:w="-318" w:type="dxa"/>
        <w:tblBorders>
          <w:top w:val="single" w:sz="12" w:space="0" w:color="4F6228" w:themeColor="accent3" w:themeShade="80"/>
          <w:left w:val="single" w:sz="12" w:space="0" w:color="4F6228" w:themeColor="accent3" w:themeShade="80"/>
          <w:bottom w:val="single" w:sz="12" w:space="0" w:color="4F6228" w:themeColor="accent3" w:themeShade="80"/>
          <w:right w:val="single" w:sz="12" w:space="0" w:color="4F6228" w:themeColor="accent3" w:themeShade="80"/>
        </w:tblBorders>
        <w:shd w:val="clear" w:color="auto" w:fill="FFFFFF" w:themeFill="background1"/>
        <w:tblLook w:val="04A0" w:firstRow="1" w:lastRow="0" w:firstColumn="1" w:lastColumn="0" w:noHBand="0" w:noVBand="1"/>
      </w:tblPr>
      <w:tblGrid>
        <w:gridCol w:w="10349"/>
      </w:tblGrid>
      <w:tr w:rsidR="0009728B" w:rsidRPr="00EC19F3" w:rsidTr="001E6D19">
        <w:trPr>
          <w:trHeight w:hRule="exact" w:val="340"/>
        </w:trPr>
        <w:tc>
          <w:tcPr>
            <w:tcW w:w="10349" w:type="dxa"/>
            <w:shd w:val="clear" w:color="auto" w:fill="8DC63F"/>
          </w:tcPr>
          <w:p w:rsidR="0009728B" w:rsidRPr="00B63102" w:rsidRDefault="0085699D" w:rsidP="001E6D19">
            <w:pPr>
              <w:spacing w:before="60" w:after="60" w:line="240" w:lineRule="auto"/>
              <w:ind w:left="34"/>
              <w:rPr>
                <w:rFonts w:ascii="Arial" w:hAnsi="Arial" w:cs="Arial"/>
                <w:b/>
                <w:sz w:val="24"/>
                <w:szCs w:val="24"/>
              </w:rPr>
            </w:pPr>
            <w:r>
              <w:rPr>
                <w:rFonts w:ascii="Arial" w:hAnsi="Arial" w:cs="Arial"/>
                <w:b/>
                <w:sz w:val="24"/>
                <w:szCs w:val="24"/>
              </w:rPr>
              <w:t>3.4</w:t>
            </w:r>
            <w:r w:rsidR="001800AA" w:rsidRPr="00B63102">
              <w:rPr>
                <w:rFonts w:ascii="Arial" w:hAnsi="Arial" w:cs="Arial"/>
                <w:b/>
                <w:sz w:val="24"/>
                <w:szCs w:val="24"/>
              </w:rPr>
              <w:t>.1</w:t>
            </w:r>
            <w:r w:rsidR="00123851" w:rsidRPr="00B63102">
              <w:rPr>
                <w:rFonts w:ascii="Arial" w:hAnsi="Arial" w:cs="Arial"/>
                <w:b/>
                <w:sz w:val="24"/>
                <w:szCs w:val="24"/>
              </w:rPr>
              <w:t xml:space="preserve"> </w:t>
            </w:r>
            <w:r w:rsidR="0009728B" w:rsidRPr="00B63102">
              <w:rPr>
                <w:rFonts w:ascii="Arial" w:hAnsi="Arial" w:cs="Arial"/>
                <w:b/>
                <w:sz w:val="24"/>
                <w:szCs w:val="24"/>
              </w:rPr>
              <w:t xml:space="preserve">Achievement Highlights </w:t>
            </w:r>
            <w:r w:rsidR="007A23A8" w:rsidRPr="00B63102">
              <w:rPr>
                <w:rFonts w:ascii="Arial" w:hAnsi="Arial" w:cs="Arial"/>
                <w:b/>
                <w:sz w:val="24"/>
                <w:szCs w:val="24"/>
              </w:rPr>
              <w:t xml:space="preserve">for </w:t>
            </w:r>
            <w:r w:rsidR="00B63102">
              <w:rPr>
                <w:rFonts w:ascii="Arial" w:hAnsi="Arial" w:cs="Arial"/>
                <w:b/>
                <w:sz w:val="24"/>
                <w:szCs w:val="24"/>
              </w:rPr>
              <w:t>May</w:t>
            </w:r>
            <w:r w:rsidR="00570396" w:rsidRPr="00B63102">
              <w:rPr>
                <w:rFonts w:ascii="Arial" w:hAnsi="Arial" w:cs="Arial"/>
                <w:b/>
                <w:sz w:val="24"/>
                <w:szCs w:val="24"/>
              </w:rPr>
              <w:t xml:space="preserve"> 2020</w:t>
            </w:r>
          </w:p>
        </w:tc>
      </w:tr>
    </w:tbl>
    <w:p w:rsidR="003C0801" w:rsidRPr="00EC19F3" w:rsidRDefault="003C0801" w:rsidP="00787BFA">
      <w:pPr>
        <w:autoSpaceDE w:val="0"/>
        <w:autoSpaceDN w:val="0"/>
        <w:adjustRightInd w:val="0"/>
        <w:spacing w:after="0" w:line="240" w:lineRule="auto"/>
        <w:ind w:left="-426"/>
        <w:jc w:val="both"/>
        <w:rPr>
          <w:rFonts w:ascii="Arial" w:eastAsia="Calibri" w:hAnsi="Arial" w:cs="Arial"/>
          <w:b/>
          <w:bCs/>
          <w:sz w:val="24"/>
          <w:szCs w:val="24"/>
          <w:highlight w:val="yellow"/>
        </w:rPr>
      </w:pPr>
    </w:p>
    <w:p w:rsidR="0030467B" w:rsidRPr="00392D42" w:rsidRDefault="0030467B" w:rsidP="0012109F">
      <w:pPr>
        <w:ind w:hanging="426"/>
        <w:rPr>
          <w:rFonts w:ascii="Arial" w:hAnsi="Arial" w:cs="Arial"/>
          <w:b/>
          <w:sz w:val="24"/>
          <w:szCs w:val="24"/>
        </w:rPr>
      </w:pPr>
      <w:r w:rsidRPr="00392D42">
        <w:rPr>
          <w:rFonts w:ascii="Arial" w:hAnsi="Arial" w:cs="Arial"/>
          <w:b/>
          <w:sz w:val="24"/>
          <w:szCs w:val="24"/>
        </w:rPr>
        <w:t>Studies / Recruitment</w:t>
      </w:r>
    </w:p>
    <w:p w:rsidR="0030467B" w:rsidRPr="00392D42" w:rsidRDefault="0030467B" w:rsidP="0012109F">
      <w:pPr>
        <w:numPr>
          <w:ilvl w:val="0"/>
          <w:numId w:val="12"/>
        </w:numPr>
        <w:ind w:left="0" w:hanging="426"/>
        <w:contextualSpacing/>
        <w:jc w:val="both"/>
        <w:rPr>
          <w:rFonts w:ascii="Arial" w:hAnsi="Arial" w:cs="Arial"/>
          <w:color w:val="000000"/>
          <w:sz w:val="24"/>
          <w:szCs w:val="24"/>
        </w:rPr>
      </w:pPr>
      <w:r w:rsidRPr="00392D42">
        <w:rPr>
          <w:rFonts w:ascii="Arial" w:hAnsi="Arial" w:cs="Arial"/>
          <w:color w:val="000000"/>
          <w:sz w:val="24"/>
          <w:szCs w:val="24"/>
        </w:rPr>
        <w:t xml:space="preserve">A study led by Professor Palmer was presented at the ASCO meeting.  The study is a very important international trial led by University of Liverpool/RLUH/CCC with significant results. The study title: </w:t>
      </w:r>
      <w:r w:rsidRPr="00392D42">
        <w:rPr>
          <w:rFonts w:ascii="Arial" w:hAnsi="Arial" w:cs="Arial"/>
          <w:i/>
          <w:sz w:val="24"/>
          <w:szCs w:val="24"/>
        </w:rPr>
        <w:t>ESPAC-5F: Four-arm, prospective, multicentre, international randomized phase II trial of immediate surgery compared with neoadjuvant gemcitabine plus capecitabine (GEMCAP) or FOLFIRINOX or chemoradiotherapy (CRT) in patients with borderline resectable pancreatic cancer</w:t>
      </w:r>
    </w:p>
    <w:p w:rsidR="0030467B" w:rsidRPr="00392D42" w:rsidRDefault="0030467B" w:rsidP="0012109F">
      <w:pPr>
        <w:ind w:hanging="426"/>
        <w:contextualSpacing/>
        <w:jc w:val="both"/>
        <w:rPr>
          <w:rFonts w:ascii="Arial" w:hAnsi="Arial" w:cs="Arial"/>
          <w:color w:val="000000"/>
          <w:sz w:val="24"/>
          <w:szCs w:val="24"/>
        </w:rPr>
      </w:pPr>
    </w:p>
    <w:p w:rsidR="0030467B" w:rsidRPr="00392D42" w:rsidRDefault="0030467B" w:rsidP="0012109F">
      <w:pPr>
        <w:ind w:hanging="426"/>
        <w:jc w:val="both"/>
        <w:rPr>
          <w:rFonts w:ascii="Arial" w:hAnsi="Arial" w:cs="Arial"/>
          <w:b/>
          <w:sz w:val="24"/>
          <w:szCs w:val="24"/>
        </w:rPr>
      </w:pPr>
      <w:r w:rsidRPr="00392D42">
        <w:rPr>
          <w:rFonts w:ascii="Arial" w:hAnsi="Arial" w:cs="Arial"/>
          <w:b/>
          <w:sz w:val="24"/>
          <w:szCs w:val="24"/>
        </w:rPr>
        <w:t>Publications</w:t>
      </w:r>
    </w:p>
    <w:p w:rsidR="0030467B" w:rsidRPr="00392D42" w:rsidRDefault="0030467B" w:rsidP="0012109F">
      <w:pPr>
        <w:numPr>
          <w:ilvl w:val="0"/>
          <w:numId w:val="10"/>
        </w:numPr>
        <w:ind w:left="0" w:hanging="426"/>
        <w:contextualSpacing/>
        <w:jc w:val="both"/>
        <w:rPr>
          <w:rFonts w:ascii="Arial" w:hAnsi="Arial" w:cs="Arial"/>
          <w:b/>
          <w:sz w:val="24"/>
          <w:szCs w:val="24"/>
        </w:rPr>
      </w:pPr>
      <w:r w:rsidRPr="00392D42">
        <w:rPr>
          <w:rFonts w:ascii="Arial" w:hAnsi="Arial" w:cs="Arial"/>
          <w:sz w:val="24"/>
          <w:szCs w:val="24"/>
        </w:rPr>
        <w:t xml:space="preserve">Dr Tony Pope and Professor John Fenwick were authors on a publication entitled: </w:t>
      </w:r>
      <w:r w:rsidRPr="00392D42">
        <w:rPr>
          <w:rFonts w:ascii="Arial" w:hAnsi="Arial" w:cs="Arial"/>
          <w:i/>
          <w:sz w:val="24"/>
          <w:szCs w:val="24"/>
        </w:rPr>
        <w:t>Reduced fractionation in lung cancer patients treated with curative-intent radiotherapy during the COVID-19 pandemic.</w:t>
      </w:r>
    </w:p>
    <w:p w:rsidR="0030467B" w:rsidRPr="00392D42" w:rsidRDefault="0030467B" w:rsidP="0012109F">
      <w:pPr>
        <w:numPr>
          <w:ilvl w:val="0"/>
          <w:numId w:val="10"/>
        </w:numPr>
        <w:ind w:left="0" w:hanging="426"/>
        <w:contextualSpacing/>
        <w:jc w:val="both"/>
        <w:rPr>
          <w:rFonts w:ascii="Arial" w:hAnsi="Arial" w:cs="Arial"/>
          <w:sz w:val="24"/>
          <w:szCs w:val="24"/>
        </w:rPr>
      </w:pPr>
      <w:r w:rsidRPr="00392D42">
        <w:rPr>
          <w:rFonts w:ascii="Arial" w:hAnsi="Arial" w:cs="Arial"/>
          <w:sz w:val="24"/>
          <w:szCs w:val="24"/>
        </w:rPr>
        <w:t>Dr Ali was an author on a publication in European Journal of Cancer entitled: Activity and safety of the multi-target tyrosine kinase inhibitor cabozantinib in patients with metastatic gastrointestinal stromal tumour after treatment with imatinib and sunitinib: European Organisation for Research and Treatment of Cancer phase II trial 1217 ‘CaboGIST’.</w:t>
      </w:r>
    </w:p>
    <w:p w:rsidR="0030467B" w:rsidRPr="00392D42" w:rsidRDefault="0030467B" w:rsidP="0030467B">
      <w:pPr>
        <w:ind w:left="360"/>
        <w:contextualSpacing/>
        <w:jc w:val="both"/>
        <w:rPr>
          <w:rFonts w:ascii="Arial" w:hAnsi="Arial" w:cs="Arial"/>
          <w:b/>
          <w:sz w:val="24"/>
          <w:szCs w:val="24"/>
        </w:rPr>
      </w:pPr>
    </w:p>
    <w:p w:rsidR="0030467B" w:rsidRPr="00392D42" w:rsidRDefault="0030467B" w:rsidP="0012109F">
      <w:pPr>
        <w:ind w:left="-426"/>
        <w:jc w:val="both"/>
        <w:rPr>
          <w:rFonts w:ascii="Arial" w:hAnsi="Arial" w:cs="Arial"/>
          <w:b/>
          <w:sz w:val="24"/>
          <w:szCs w:val="24"/>
        </w:rPr>
      </w:pPr>
      <w:r w:rsidRPr="00392D42">
        <w:rPr>
          <w:rFonts w:ascii="Arial" w:hAnsi="Arial" w:cs="Arial"/>
          <w:b/>
          <w:sz w:val="24"/>
          <w:szCs w:val="24"/>
        </w:rPr>
        <w:t>Radiotherapy</w:t>
      </w:r>
    </w:p>
    <w:p w:rsidR="0030467B" w:rsidRPr="00392D42" w:rsidRDefault="0030467B" w:rsidP="000377B3">
      <w:pPr>
        <w:numPr>
          <w:ilvl w:val="0"/>
          <w:numId w:val="11"/>
        </w:numPr>
        <w:spacing w:after="0" w:line="240" w:lineRule="auto"/>
        <w:ind w:left="0" w:hanging="426"/>
        <w:jc w:val="both"/>
        <w:rPr>
          <w:rFonts w:ascii="Arial" w:hAnsi="Arial" w:cs="Arial"/>
          <w:sz w:val="24"/>
          <w:szCs w:val="24"/>
        </w:rPr>
      </w:pPr>
      <w:r w:rsidRPr="00392D42">
        <w:rPr>
          <w:rFonts w:ascii="Arial" w:hAnsi="Arial" w:cs="Arial"/>
          <w:sz w:val="24"/>
          <w:szCs w:val="24"/>
        </w:rPr>
        <w:t>Successfully treated the first two patients recruited to the TRAP Trial.</w:t>
      </w:r>
    </w:p>
    <w:p w:rsidR="0030467B" w:rsidRPr="00392D42" w:rsidRDefault="0030467B" w:rsidP="000377B3">
      <w:pPr>
        <w:numPr>
          <w:ilvl w:val="0"/>
          <w:numId w:val="11"/>
        </w:numPr>
        <w:spacing w:after="0" w:line="240" w:lineRule="auto"/>
        <w:ind w:left="0" w:hanging="426"/>
        <w:jc w:val="both"/>
        <w:rPr>
          <w:rFonts w:ascii="Arial" w:hAnsi="Arial" w:cs="Arial"/>
          <w:sz w:val="24"/>
          <w:szCs w:val="24"/>
        </w:rPr>
      </w:pPr>
      <w:r w:rsidRPr="00392D42">
        <w:rPr>
          <w:rFonts w:ascii="Arial" w:hAnsi="Arial" w:cs="Arial"/>
          <w:sz w:val="24"/>
          <w:szCs w:val="24"/>
        </w:rPr>
        <w:t>Re-started the PACE and PIVOTALboost Trials that been halted for their radiotherapy (but remained on hormones).  Three PACE patients and three PIVOTALboost patients have started on their radiotherapy.</w:t>
      </w:r>
    </w:p>
    <w:p w:rsidR="00CD0AF5" w:rsidRPr="00392D42" w:rsidRDefault="00CD0AF5" w:rsidP="00385AD4">
      <w:pPr>
        <w:contextualSpacing/>
        <w:jc w:val="both"/>
        <w:rPr>
          <w:rFonts w:ascii="Arial" w:hAnsi="Arial" w:cs="Arial"/>
          <w:b/>
          <w:bCs/>
          <w:sz w:val="24"/>
          <w:szCs w:val="24"/>
          <w:highlight w:val="yellow"/>
        </w:rPr>
      </w:pPr>
    </w:p>
    <w:tbl>
      <w:tblPr>
        <w:tblW w:w="10349" w:type="dxa"/>
        <w:tblInd w:w="-318" w:type="dxa"/>
        <w:tblBorders>
          <w:top w:val="single" w:sz="12" w:space="0" w:color="4F6228" w:themeColor="accent3" w:themeShade="80"/>
          <w:left w:val="single" w:sz="12" w:space="0" w:color="4F6228" w:themeColor="accent3" w:themeShade="80"/>
          <w:bottom w:val="single" w:sz="12" w:space="0" w:color="4F6228" w:themeColor="accent3" w:themeShade="80"/>
          <w:right w:val="single" w:sz="12" w:space="0" w:color="4F6228" w:themeColor="accent3" w:themeShade="80"/>
        </w:tblBorders>
        <w:shd w:val="clear" w:color="auto" w:fill="FFFFFF" w:themeFill="background1"/>
        <w:tblLook w:val="04A0" w:firstRow="1" w:lastRow="0" w:firstColumn="1" w:lastColumn="0" w:noHBand="0" w:noVBand="1"/>
      </w:tblPr>
      <w:tblGrid>
        <w:gridCol w:w="10349"/>
      </w:tblGrid>
      <w:tr w:rsidR="0030467B" w:rsidRPr="00392D42" w:rsidTr="0030467B">
        <w:trPr>
          <w:trHeight w:hRule="exact" w:val="340"/>
        </w:trPr>
        <w:tc>
          <w:tcPr>
            <w:tcW w:w="10349" w:type="dxa"/>
            <w:shd w:val="clear" w:color="auto" w:fill="8DC63F"/>
          </w:tcPr>
          <w:p w:rsidR="0030467B" w:rsidRPr="00392D42" w:rsidRDefault="0085699D" w:rsidP="0030467B">
            <w:pPr>
              <w:spacing w:after="0" w:line="240" w:lineRule="auto"/>
              <w:ind w:left="34"/>
              <w:rPr>
                <w:rFonts w:ascii="Arial" w:hAnsi="Arial" w:cs="Arial"/>
                <w:b/>
                <w:sz w:val="24"/>
                <w:szCs w:val="24"/>
              </w:rPr>
            </w:pPr>
            <w:r w:rsidRPr="00392D42">
              <w:rPr>
                <w:rFonts w:ascii="Arial" w:hAnsi="Arial" w:cs="Arial"/>
                <w:b/>
                <w:sz w:val="24"/>
                <w:szCs w:val="24"/>
              </w:rPr>
              <w:t>3.4</w:t>
            </w:r>
            <w:r w:rsidR="0030467B" w:rsidRPr="00392D42">
              <w:rPr>
                <w:rFonts w:ascii="Arial" w:hAnsi="Arial" w:cs="Arial"/>
                <w:b/>
                <w:sz w:val="24"/>
                <w:szCs w:val="24"/>
              </w:rPr>
              <w:t>.2 Clinical Research Recovery Plan</w:t>
            </w:r>
          </w:p>
        </w:tc>
      </w:tr>
    </w:tbl>
    <w:p w:rsidR="00B63102" w:rsidRPr="00392D42" w:rsidRDefault="00B63102" w:rsidP="0012109F">
      <w:pPr>
        <w:ind w:left="-426"/>
        <w:contextualSpacing/>
        <w:jc w:val="both"/>
        <w:rPr>
          <w:rFonts w:ascii="Arial" w:hAnsi="Arial" w:cs="Arial"/>
          <w:b/>
          <w:bCs/>
          <w:sz w:val="24"/>
          <w:szCs w:val="24"/>
          <w:highlight w:val="yellow"/>
        </w:rPr>
      </w:pPr>
    </w:p>
    <w:p w:rsidR="0030467B" w:rsidRPr="00392D42" w:rsidRDefault="0030467B" w:rsidP="0012109F">
      <w:pPr>
        <w:tabs>
          <w:tab w:val="left" w:pos="898"/>
        </w:tabs>
        <w:ind w:left="-426"/>
        <w:contextualSpacing/>
        <w:jc w:val="both"/>
        <w:rPr>
          <w:rFonts w:ascii="Arial" w:hAnsi="Arial" w:cs="Arial"/>
          <w:sz w:val="24"/>
          <w:szCs w:val="24"/>
        </w:rPr>
      </w:pPr>
      <w:r w:rsidRPr="00392D42">
        <w:rPr>
          <w:rFonts w:ascii="Arial" w:hAnsi="Arial" w:cs="Arial"/>
          <w:sz w:val="24"/>
          <w:szCs w:val="24"/>
        </w:rPr>
        <w:t>As of 22</w:t>
      </w:r>
      <w:r w:rsidRPr="00392D42">
        <w:rPr>
          <w:rFonts w:ascii="Arial" w:hAnsi="Arial" w:cs="Arial"/>
          <w:sz w:val="24"/>
          <w:szCs w:val="24"/>
          <w:vertAlign w:val="superscript"/>
        </w:rPr>
        <w:t>nd</w:t>
      </w:r>
      <w:r w:rsidRPr="00392D42">
        <w:rPr>
          <w:rFonts w:ascii="Arial" w:hAnsi="Arial" w:cs="Arial"/>
          <w:sz w:val="24"/>
          <w:szCs w:val="24"/>
        </w:rPr>
        <w:t xml:space="preserve"> May 2020 recruitment onto clinical trials and studies was unpaused.</w:t>
      </w:r>
    </w:p>
    <w:p w:rsidR="0030467B" w:rsidRPr="00392D42" w:rsidRDefault="0030467B" w:rsidP="0012109F">
      <w:pPr>
        <w:spacing w:after="0"/>
        <w:ind w:left="-426"/>
        <w:jc w:val="both"/>
        <w:rPr>
          <w:rFonts w:ascii="Arial" w:hAnsi="Arial" w:cs="Arial"/>
          <w:sz w:val="24"/>
          <w:szCs w:val="24"/>
        </w:rPr>
      </w:pPr>
      <w:r w:rsidRPr="00392D42">
        <w:rPr>
          <w:rFonts w:ascii="Arial" w:hAnsi="Arial" w:cs="Arial"/>
          <w:sz w:val="24"/>
          <w:szCs w:val="24"/>
        </w:rPr>
        <w:lastRenderedPageBreak/>
        <w:t>Investigators have been encouraged to open pre-existing and paused studies as long as:</w:t>
      </w:r>
    </w:p>
    <w:p w:rsidR="0030467B" w:rsidRPr="00392D42" w:rsidRDefault="0030467B" w:rsidP="0012109F">
      <w:pPr>
        <w:spacing w:after="0"/>
        <w:ind w:left="-426"/>
        <w:jc w:val="both"/>
        <w:rPr>
          <w:rFonts w:ascii="Arial" w:hAnsi="Arial" w:cs="Arial"/>
          <w:sz w:val="24"/>
          <w:szCs w:val="24"/>
        </w:rPr>
      </w:pPr>
    </w:p>
    <w:p w:rsidR="0030467B" w:rsidRPr="00392D42" w:rsidRDefault="0030467B" w:rsidP="0012109F">
      <w:pPr>
        <w:numPr>
          <w:ilvl w:val="0"/>
          <w:numId w:val="10"/>
        </w:numPr>
        <w:ind w:left="0" w:hanging="426"/>
        <w:contextualSpacing/>
        <w:jc w:val="both"/>
        <w:rPr>
          <w:rFonts w:ascii="Arial" w:hAnsi="Arial" w:cs="Arial"/>
          <w:sz w:val="24"/>
          <w:szCs w:val="24"/>
        </w:rPr>
      </w:pPr>
      <w:r w:rsidRPr="00392D42">
        <w:rPr>
          <w:rFonts w:ascii="Arial" w:hAnsi="Arial" w:cs="Arial"/>
          <w:sz w:val="24"/>
          <w:szCs w:val="24"/>
        </w:rPr>
        <w:t>Safety of patients and staff is not compromised.</w:t>
      </w:r>
    </w:p>
    <w:p w:rsidR="0030467B" w:rsidRPr="00392D42" w:rsidRDefault="0030467B" w:rsidP="0012109F">
      <w:pPr>
        <w:numPr>
          <w:ilvl w:val="0"/>
          <w:numId w:val="10"/>
        </w:numPr>
        <w:ind w:left="0" w:hanging="426"/>
        <w:contextualSpacing/>
        <w:jc w:val="both"/>
        <w:rPr>
          <w:rFonts w:ascii="Arial" w:hAnsi="Arial" w:cs="Arial"/>
          <w:sz w:val="24"/>
          <w:szCs w:val="24"/>
        </w:rPr>
      </w:pPr>
      <w:r w:rsidRPr="00392D42">
        <w:rPr>
          <w:rFonts w:ascii="Arial" w:hAnsi="Arial" w:cs="Arial"/>
          <w:sz w:val="24"/>
          <w:szCs w:val="24"/>
        </w:rPr>
        <w:t>External/internal service providers are open and have capacity</w:t>
      </w:r>
    </w:p>
    <w:p w:rsidR="0030467B" w:rsidRPr="00392D42" w:rsidRDefault="0030467B" w:rsidP="0012109F">
      <w:pPr>
        <w:numPr>
          <w:ilvl w:val="0"/>
          <w:numId w:val="10"/>
        </w:numPr>
        <w:ind w:left="0" w:hanging="426"/>
        <w:contextualSpacing/>
        <w:jc w:val="both"/>
        <w:rPr>
          <w:rFonts w:ascii="Arial" w:hAnsi="Arial" w:cs="Arial"/>
          <w:sz w:val="24"/>
          <w:szCs w:val="24"/>
        </w:rPr>
      </w:pPr>
      <w:r w:rsidRPr="00392D42">
        <w:rPr>
          <w:rFonts w:ascii="Arial" w:hAnsi="Arial" w:cs="Arial"/>
          <w:sz w:val="24"/>
          <w:szCs w:val="24"/>
        </w:rPr>
        <w:t>Sponsor has authorised recruitment to be reinitiated</w:t>
      </w:r>
    </w:p>
    <w:p w:rsidR="0030467B" w:rsidRPr="00392D42" w:rsidRDefault="0030467B" w:rsidP="0012109F">
      <w:pPr>
        <w:numPr>
          <w:ilvl w:val="0"/>
          <w:numId w:val="10"/>
        </w:numPr>
        <w:ind w:left="0" w:hanging="426"/>
        <w:contextualSpacing/>
        <w:jc w:val="both"/>
        <w:rPr>
          <w:rFonts w:ascii="Arial" w:hAnsi="Arial" w:cs="Arial"/>
          <w:sz w:val="24"/>
          <w:szCs w:val="24"/>
        </w:rPr>
      </w:pPr>
      <w:r w:rsidRPr="00392D42">
        <w:rPr>
          <w:rFonts w:ascii="Arial" w:hAnsi="Arial" w:cs="Arial"/>
          <w:sz w:val="24"/>
          <w:szCs w:val="24"/>
        </w:rPr>
        <w:t>R&amp;I support staff have sufficient capacity</w:t>
      </w:r>
    </w:p>
    <w:p w:rsidR="0030467B" w:rsidRPr="00392D42" w:rsidRDefault="0030467B" w:rsidP="0012109F">
      <w:pPr>
        <w:ind w:left="-426"/>
        <w:contextualSpacing/>
        <w:jc w:val="both"/>
        <w:rPr>
          <w:rFonts w:ascii="Arial" w:hAnsi="Arial" w:cs="Arial"/>
          <w:sz w:val="24"/>
          <w:szCs w:val="24"/>
        </w:rPr>
      </w:pPr>
    </w:p>
    <w:p w:rsidR="0030467B" w:rsidRPr="00392D42" w:rsidRDefault="0030467B" w:rsidP="0012109F">
      <w:pPr>
        <w:spacing w:after="0"/>
        <w:ind w:left="-426"/>
        <w:jc w:val="both"/>
        <w:rPr>
          <w:rFonts w:ascii="Arial" w:hAnsi="Arial" w:cs="Arial"/>
          <w:sz w:val="24"/>
          <w:szCs w:val="24"/>
        </w:rPr>
      </w:pPr>
      <w:r w:rsidRPr="00392D42">
        <w:rPr>
          <w:rFonts w:ascii="Arial" w:hAnsi="Arial" w:cs="Arial"/>
          <w:sz w:val="24"/>
          <w:szCs w:val="24"/>
        </w:rPr>
        <w:t xml:space="preserve">The responsibility for portfolio review, prioritisation, and opening of specific trials has been delegated to the Site Reference Groups (SRGs) and the SRG Research Leads with support from the R&amp;I Directorate.  </w:t>
      </w:r>
    </w:p>
    <w:p w:rsidR="0030467B" w:rsidRPr="00392D42" w:rsidRDefault="0030467B" w:rsidP="0012109F">
      <w:pPr>
        <w:spacing w:after="0"/>
        <w:ind w:left="-426"/>
        <w:jc w:val="both"/>
        <w:rPr>
          <w:rFonts w:ascii="Arial" w:hAnsi="Arial" w:cs="Arial"/>
          <w:sz w:val="24"/>
          <w:szCs w:val="24"/>
        </w:rPr>
      </w:pPr>
    </w:p>
    <w:p w:rsidR="001E6D19" w:rsidRPr="00392D42" w:rsidRDefault="001E6D19" w:rsidP="0012109F">
      <w:pPr>
        <w:spacing w:after="0"/>
        <w:ind w:left="-426"/>
        <w:jc w:val="both"/>
        <w:rPr>
          <w:rFonts w:ascii="Arial" w:hAnsi="Arial" w:cs="Arial"/>
          <w:sz w:val="24"/>
          <w:szCs w:val="24"/>
        </w:rPr>
      </w:pPr>
      <w:r w:rsidRPr="00392D42">
        <w:rPr>
          <w:rFonts w:ascii="Arial" w:hAnsi="Arial" w:cs="Arial"/>
          <w:b/>
          <w:sz w:val="24"/>
          <w:szCs w:val="24"/>
        </w:rPr>
        <w:t>COVID-19 Related Research</w:t>
      </w:r>
    </w:p>
    <w:p w:rsidR="001E6D19" w:rsidRPr="00392D42" w:rsidRDefault="001E6D19" w:rsidP="0012109F">
      <w:pPr>
        <w:spacing w:after="0"/>
        <w:ind w:left="-426"/>
        <w:jc w:val="both"/>
        <w:rPr>
          <w:rFonts w:ascii="Arial" w:hAnsi="Arial" w:cs="Arial"/>
          <w:sz w:val="24"/>
          <w:szCs w:val="24"/>
        </w:rPr>
      </w:pPr>
    </w:p>
    <w:p w:rsidR="0030467B" w:rsidRPr="00392D42" w:rsidRDefault="0030467B" w:rsidP="0012109F">
      <w:pPr>
        <w:spacing w:after="0"/>
        <w:ind w:left="-426"/>
        <w:jc w:val="both"/>
        <w:rPr>
          <w:rFonts w:ascii="Arial" w:hAnsi="Arial" w:cs="Arial"/>
          <w:sz w:val="24"/>
          <w:szCs w:val="24"/>
        </w:rPr>
      </w:pPr>
      <w:r w:rsidRPr="00392D42">
        <w:rPr>
          <w:rFonts w:ascii="Arial" w:hAnsi="Arial" w:cs="Arial"/>
          <w:sz w:val="24"/>
          <w:szCs w:val="24"/>
        </w:rPr>
        <w:t xml:space="preserve">We will continue to deliver and consider COVID-19 clinical research studies in support of the wider Liverpool Health Partners and Liverpool STOP-COVID initiative.   </w:t>
      </w:r>
    </w:p>
    <w:p w:rsidR="0030467B" w:rsidRPr="000377B3" w:rsidRDefault="0030467B" w:rsidP="0012109F">
      <w:pPr>
        <w:ind w:left="-426"/>
        <w:contextualSpacing/>
        <w:jc w:val="both"/>
        <w:rPr>
          <w:rFonts w:ascii="Arial" w:hAnsi="Arial" w:cs="Arial"/>
          <w:sz w:val="20"/>
          <w:szCs w:val="20"/>
        </w:rPr>
      </w:pPr>
    </w:p>
    <w:p w:rsidR="0030467B" w:rsidRPr="00392D42" w:rsidRDefault="0030467B" w:rsidP="0012109F">
      <w:pPr>
        <w:numPr>
          <w:ilvl w:val="0"/>
          <w:numId w:val="10"/>
        </w:numPr>
        <w:ind w:left="0" w:hanging="426"/>
        <w:contextualSpacing/>
        <w:jc w:val="both"/>
        <w:rPr>
          <w:rFonts w:ascii="Arial" w:hAnsi="Arial" w:cs="Arial"/>
          <w:sz w:val="24"/>
          <w:szCs w:val="24"/>
        </w:rPr>
      </w:pPr>
      <w:r w:rsidRPr="00392D42">
        <w:rPr>
          <w:rFonts w:ascii="Arial" w:hAnsi="Arial" w:cs="Arial"/>
          <w:sz w:val="24"/>
          <w:szCs w:val="24"/>
        </w:rPr>
        <w:t xml:space="preserve">R&amp;I are meeting with CCC investigators weekly to discuss open COVID-19 studies, studies in set-up and studies which are in the pipeline which investigators are interested in opening.  </w:t>
      </w:r>
    </w:p>
    <w:p w:rsidR="0030467B" w:rsidRPr="000377B3" w:rsidRDefault="0030467B" w:rsidP="0012109F">
      <w:pPr>
        <w:ind w:left="-426"/>
        <w:contextualSpacing/>
        <w:jc w:val="both"/>
        <w:rPr>
          <w:rFonts w:ascii="Arial" w:hAnsi="Arial" w:cs="Arial"/>
          <w:sz w:val="20"/>
          <w:szCs w:val="20"/>
        </w:rPr>
      </w:pPr>
    </w:p>
    <w:p w:rsidR="0030467B" w:rsidRPr="00392D42" w:rsidRDefault="0030467B" w:rsidP="0012109F">
      <w:pPr>
        <w:numPr>
          <w:ilvl w:val="0"/>
          <w:numId w:val="10"/>
        </w:numPr>
        <w:ind w:left="0" w:hanging="426"/>
        <w:contextualSpacing/>
        <w:jc w:val="both"/>
        <w:rPr>
          <w:rFonts w:ascii="Arial" w:hAnsi="Arial" w:cs="Arial"/>
          <w:sz w:val="24"/>
          <w:szCs w:val="24"/>
        </w:rPr>
      </w:pPr>
      <w:r w:rsidRPr="00392D42">
        <w:rPr>
          <w:rFonts w:ascii="Arial" w:hAnsi="Arial" w:cs="Arial"/>
          <w:sz w:val="24"/>
          <w:szCs w:val="24"/>
        </w:rPr>
        <w:t>CCC are also represented regionally at the Liverpool Health Partner (LHP) COVID-19 meetings and at the North West Coast Clinical Research Network COVID-19 meetings.</w:t>
      </w:r>
    </w:p>
    <w:p w:rsidR="002E1374" w:rsidRPr="000377B3" w:rsidRDefault="002E1374" w:rsidP="0012109F">
      <w:pPr>
        <w:ind w:left="-426"/>
        <w:contextualSpacing/>
        <w:jc w:val="both"/>
        <w:rPr>
          <w:rFonts w:ascii="Arial" w:hAnsi="Arial" w:cs="Arial"/>
          <w:sz w:val="20"/>
          <w:szCs w:val="20"/>
        </w:rPr>
      </w:pPr>
    </w:p>
    <w:p w:rsidR="0030467B" w:rsidRPr="00392D42" w:rsidRDefault="0030467B" w:rsidP="0012109F">
      <w:pPr>
        <w:ind w:left="-426"/>
        <w:contextualSpacing/>
        <w:jc w:val="both"/>
        <w:rPr>
          <w:rFonts w:ascii="Arial" w:hAnsi="Arial" w:cs="Arial"/>
          <w:sz w:val="24"/>
          <w:szCs w:val="24"/>
        </w:rPr>
      </w:pPr>
      <w:r w:rsidRPr="00392D42">
        <w:rPr>
          <w:rFonts w:ascii="Arial" w:hAnsi="Arial" w:cs="Arial"/>
          <w:sz w:val="24"/>
          <w:szCs w:val="24"/>
        </w:rPr>
        <w:t>There are currently three open COVID19 studies that we are supporting as shown below:</w:t>
      </w:r>
    </w:p>
    <w:p w:rsidR="0030467B" w:rsidRPr="000377B3" w:rsidRDefault="0030467B" w:rsidP="0012109F">
      <w:pPr>
        <w:ind w:left="-426"/>
        <w:contextualSpacing/>
        <w:jc w:val="both"/>
        <w:rPr>
          <w:rFonts w:ascii="Arial" w:hAnsi="Arial" w:cs="Arial"/>
          <w:sz w:val="20"/>
          <w:szCs w:val="20"/>
        </w:rPr>
      </w:pPr>
    </w:p>
    <w:tbl>
      <w:tblPr>
        <w:tblW w:w="9172" w:type="dxa"/>
        <w:tblCellMar>
          <w:left w:w="0" w:type="dxa"/>
          <w:right w:w="0" w:type="dxa"/>
        </w:tblCellMar>
        <w:tblLook w:val="04A0" w:firstRow="1" w:lastRow="0" w:firstColumn="1" w:lastColumn="0" w:noHBand="0" w:noVBand="1"/>
      </w:tblPr>
      <w:tblGrid>
        <w:gridCol w:w="2045"/>
        <w:gridCol w:w="2437"/>
        <w:gridCol w:w="1940"/>
        <w:gridCol w:w="1268"/>
        <w:gridCol w:w="1482"/>
      </w:tblGrid>
      <w:tr w:rsidR="0030467B" w:rsidRPr="00392D42" w:rsidTr="0030467B">
        <w:trPr>
          <w:trHeight w:val="597"/>
        </w:trPr>
        <w:tc>
          <w:tcPr>
            <w:tcW w:w="2085" w:type="dxa"/>
            <w:tcBorders>
              <w:top w:val="single" w:sz="8" w:space="0" w:color="FFFFFF"/>
              <w:left w:val="single" w:sz="8" w:space="0" w:color="FFFFFF"/>
              <w:bottom w:val="single" w:sz="24" w:space="0" w:color="FFFFFF"/>
              <w:right w:val="single" w:sz="8" w:space="0" w:color="FFFFFF"/>
            </w:tcBorders>
            <w:shd w:val="clear" w:color="auto" w:fill="9BBB59"/>
            <w:tcMar>
              <w:top w:w="15" w:type="dxa"/>
              <w:left w:w="100" w:type="dxa"/>
              <w:bottom w:w="0" w:type="dxa"/>
              <w:right w:w="100" w:type="dxa"/>
            </w:tcMar>
            <w:hideMark/>
          </w:tcPr>
          <w:p w:rsidR="0030467B" w:rsidRPr="00392D42" w:rsidRDefault="0030467B" w:rsidP="0030467B">
            <w:pPr>
              <w:spacing w:after="0"/>
              <w:jc w:val="both"/>
              <w:rPr>
                <w:rFonts w:ascii="Arial" w:hAnsi="Arial" w:cs="Arial"/>
                <w:sz w:val="24"/>
                <w:szCs w:val="24"/>
              </w:rPr>
            </w:pPr>
            <w:r w:rsidRPr="00392D42">
              <w:rPr>
                <w:rFonts w:ascii="Arial" w:hAnsi="Arial" w:cs="Arial"/>
                <w:b/>
                <w:bCs/>
                <w:sz w:val="24"/>
                <w:szCs w:val="24"/>
              </w:rPr>
              <w:t>Short Title</w:t>
            </w:r>
          </w:p>
        </w:tc>
        <w:tc>
          <w:tcPr>
            <w:tcW w:w="2551" w:type="dxa"/>
            <w:tcBorders>
              <w:top w:val="single" w:sz="8" w:space="0" w:color="FFFFFF"/>
              <w:left w:val="single" w:sz="8" w:space="0" w:color="FFFFFF"/>
              <w:bottom w:val="single" w:sz="24" w:space="0" w:color="FFFFFF"/>
              <w:right w:val="single" w:sz="8" w:space="0" w:color="FFFFFF"/>
            </w:tcBorders>
            <w:shd w:val="clear" w:color="auto" w:fill="9BBB59"/>
            <w:tcMar>
              <w:top w:w="15" w:type="dxa"/>
              <w:left w:w="100" w:type="dxa"/>
              <w:bottom w:w="0" w:type="dxa"/>
              <w:right w:w="100" w:type="dxa"/>
            </w:tcMar>
            <w:hideMark/>
          </w:tcPr>
          <w:p w:rsidR="0030467B" w:rsidRPr="00392D42" w:rsidRDefault="0030467B" w:rsidP="0030467B">
            <w:pPr>
              <w:spacing w:after="0"/>
              <w:jc w:val="center"/>
              <w:rPr>
                <w:rFonts w:ascii="Arial" w:hAnsi="Arial" w:cs="Arial"/>
                <w:sz w:val="24"/>
                <w:szCs w:val="24"/>
              </w:rPr>
            </w:pPr>
            <w:r w:rsidRPr="00392D42">
              <w:rPr>
                <w:rFonts w:ascii="Arial" w:hAnsi="Arial" w:cs="Arial"/>
                <w:b/>
                <w:bCs/>
                <w:sz w:val="24"/>
                <w:szCs w:val="24"/>
              </w:rPr>
              <w:t>Type</w:t>
            </w:r>
          </w:p>
        </w:tc>
        <w:tc>
          <w:tcPr>
            <w:tcW w:w="1985" w:type="dxa"/>
            <w:tcBorders>
              <w:top w:val="single" w:sz="8" w:space="0" w:color="FFFFFF"/>
              <w:left w:val="single" w:sz="8" w:space="0" w:color="FFFFFF"/>
              <w:bottom w:val="single" w:sz="24" w:space="0" w:color="FFFFFF"/>
              <w:right w:val="single" w:sz="8" w:space="0" w:color="FFFFFF"/>
            </w:tcBorders>
            <w:shd w:val="clear" w:color="auto" w:fill="9BBB59"/>
            <w:tcMar>
              <w:top w:w="15" w:type="dxa"/>
              <w:left w:w="100" w:type="dxa"/>
              <w:bottom w:w="0" w:type="dxa"/>
              <w:right w:w="100" w:type="dxa"/>
            </w:tcMar>
            <w:hideMark/>
          </w:tcPr>
          <w:p w:rsidR="0030467B" w:rsidRPr="00392D42" w:rsidRDefault="0030467B" w:rsidP="0030467B">
            <w:pPr>
              <w:spacing w:after="0"/>
              <w:jc w:val="center"/>
              <w:rPr>
                <w:rFonts w:ascii="Arial" w:hAnsi="Arial" w:cs="Arial"/>
                <w:sz w:val="24"/>
                <w:szCs w:val="24"/>
              </w:rPr>
            </w:pPr>
            <w:r w:rsidRPr="00392D42">
              <w:rPr>
                <w:rFonts w:ascii="Arial" w:hAnsi="Arial" w:cs="Arial"/>
                <w:b/>
                <w:bCs/>
                <w:sz w:val="24"/>
                <w:szCs w:val="24"/>
              </w:rPr>
              <w:t>Short Summary</w:t>
            </w:r>
          </w:p>
        </w:tc>
        <w:tc>
          <w:tcPr>
            <w:tcW w:w="1276" w:type="dxa"/>
            <w:tcBorders>
              <w:top w:val="single" w:sz="8" w:space="0" w:color="FFFFFF"/>
              <w:left w:val="single" w:sz="8" w:space="0" w:color="FFFFFF"/>
              <w:bottom w:val="single" w:sz="24" w:space="0" w:color="FFFFFF"/>
              <w:right w:val="single" w:sz="8" w:space="0" w:color="FFFFFF"/>
            </w:tcBorders>
            <w:shd w:val="clear" w:color="auto" w:fill="9BBB59"/>
            <w:tcMar>
              <w:top w:w="15" w:type="dxa"/>
              <w:left w:w="100" w:type="dxa"/>
              <w:bottom w:w="0" w:type="dxa"/>
              <w:right w:w="100" w:type="dxa"/>
            </w:tcMar>
            <w:hideMark/>
          </w:tcPr>
          <w:p w:rsidR="0030467B" w:rsidRPr="00392D42" w:rsidRDefault="0030467B" w:rsidP="0030467B">
            <w:pPr>
              <w:spacing w:after="0"/>
              <w:jc w:val="center"/>
              <w:rPr>
                <w:rFonts w:ascii="Arial" w:hAnsi="Arial" w:cs="Arial"/>
                <w:sz w:val="24"/>
                <w:szCs w:val="24"/>
              </w:rPr>
            </w:pPr>
            <w:r w:rsidRPr="00392D42">
              <w:rPr>
                <w:rFonts w:ascii="Arial" w:hAnsi="Arial" w:cs="Arial"/>
                <w:b/>
                <w:bCs/>
                <w:sz w:val="24"/>
                <w:szCs w:val="24"/>
              </w:rPr>
              <w:t>PI</w:t>
            </w:r>
          </w:p>
        </w:tc>
        <w:tc>
          <w:tcPr>
            <w:tcW w:w="1275" w:type="dxa"/>
            <w:tcBorders>
              <w:top w:val="single" w:sz="8" w:space="0" w:color="FFFFFF"/>
              <w:left w:val="single" w:sz="8" w:space="0" w:color="FFFFFF"/>
              <w:bottom w:val="single" w:sz="24" w:space="0" w:color="FFFFFF"/>
              <w:right w:val="single" w:sz="8" w:space="0" w:color="FFFFFF"/>
            </w:tcBorders>
            <w:shd w:val="clear" w:color="auto" w:fill="9BBB59"/>
            <w:tcMar>
              <w:top w:w="15" w:type="dxa"/>
              <w:left w:w="100" w:type="dxa"/>
              <w:bottom w:w="0" w:type="dxa"/>
              <w:right w:w="100" w:type="dxa"/>
            </w:tcMar>
            <w:hideMark/>
          </w:tcPr>
          <w:p w:rsidR="0030467B" w:rsidRPr="00392D42" w:rsidRDefault="0030467B" w:rsidP="0030467B">
            <w:pPr>
              <w:spacing w:after="0"/>
              <w:jc w:val="center"/>
              <w:rPr>
                <w:rFonts w:ascii="Arial" w:hAnsi="Arial" w:cs="Arial"/>
                <w:sz w:val="24"/>
                <w:szCs w:val="24"/>
              </w:rPr>
            </w:pPr>
            <w:r w:rsidRPr="00392D42">
              <w:rPr>
                <w:rFonts w:ascii="Arial" w:hAnsi="Arial" w:cs="Arial"/>
                <w:b/>
                <w:bCs/>
                <w:sz w:val="24"/>
                <w:szCs w:val="24"/>
              </w:rPr>
              <w:t>Number of patients recruited</w:t>
            </w:r>
          </w:p>
        </w:tc>
      </w:tr>
      <w:tr w:rsidR="0030467B" w:rsidRPr="00392D42" w:rsidTr="0030467B">
        <w:trPr>
          <w:trHeight w:val="850"/>
        </w:trPr>
        <w:tc>
          <w:tcPr>
            <w:tcW w:w="2085" w:type="dxa"/>
            <w:tcBorders>
              <w:top w:val="single" w:sz="24" w:space="0" w:color="FFFFFF"/>
              <w:left w:val="single" w:sz="8" w:space="0" w:color="FFFFFF"/>
              <w:bottom w:val="single" w:sz="8" w:space="0" w:color="FFFFFF"/>
              <w:right w:val="single" w:sz="8" w:space="0" w:color="FFFFFF"/>
            </w:tcBorders>
            <w:shd w:val="clear" w:color="auto" w:fill="9BBB59"/>
            <w:tcMar>
              <w:top w:w="15" w:type="dxa"/>
              <w:left w:w="100" w:type="dxa"/>
              <w:bottom w:w="0" w:type="dxa"/>
              <w:right w:w="100" w:type="dxa"/>
            </w:tcMar>
            <w:hideMark/>
          </w:tcPr>
          <w:p w:rsidR="0030467B" w:rsidRPr="00392D42" w:rsidRDefault="0030467B" w:rsidP="0030467B">
            <w:pPr>
              <w:spacing w:after="0"/>
              <w:jc w:val="both"/>
              <w:rPr>
                <w:rFonts w:ascii="Arial" w:hAnsi="Arial" w:cs="Arial"/>
                <w:sz w:val="24"/>
                <w:szCs w:val="24"/>
              </w:rPr>
            </w:pPr>
            <w:r w:rsidRPr="00392D42">
              <w:rPr>
                <w:rFonts w:ascii="Arial" w:hAnsi="Arial" w:cs="Arial"/>
                <w:b/>
                <w:bCs/>
                <w:sz w:val="24"/>
                <w:szCs w:val="24"/>
              </w:rPr>
              <w:t>ISARIC CCP-UK</w:t>
            </w:r>
          </w:p>
        </w:tc>
        <w:tc>
          <w:tcPr>
            <w:tcW w:w="2551" w:type="dxa"/>
            <w:tcBorders>
              <w:top w:val="single" w:sz="24" w:space="0" w:color="FFFFFF"/>
              <w:left w:val="single" w:sz="8" w:space="0" w:color="FFFFFF"/>
              <w:bottom w:val="single" w:sz="8" w:space="0" w:color="FFFFFF"/>
              <w:right w:val="single" w:sz="8" w:space="0" w:color="FFFFFF"/>
            </w:tcBorders>
            <w:shd w:val="clear" w:color="auto" w:fill="DEE7D1"/>
            <w:tcMar>
              <w:top w:w="15" w:type="dxa"/>
              <w:left w:w="100" w:type="dxa"/>
              <w:bottom w:w="0" w:type="dxa"/>
              <w:right w:w="100" w:type="dxa"/>
            </w:tcMar>
            <w:hideMark/>
          </w:tcPr>
          <w:p w:rsidR="0030467B" w:rsidRPr="00392D42" w:rsidRDefault="0030467B" w:rsidP="0030467B">
            <w:pPr>
              <w:spacing w:after="0"/>
              <w:jc w:val="center"/>
              <w:rPr>
                <w:rFonts w:ascii="Arial" w:hAnsi="Arial" w:cs="Arial"/>
                <w:sz w:val="24"/>
                <w:szCs w:val="24"/>
              </w:rPr>
            </w:pPr>
            <w:r w:rsidRPr="00392D42">
              <w:rPr>
                <w:rFonts w:ascii="Arial" w:hAnsi="Arial" w:cs="Arial"/>
                <w:sz w:val="24"/>
                <w:szCs w:val="24"/>
              </w:rPr>
              <w:t>Observational</w:t>
            </w:r>
          </w:p>
          <w:p w:rsidR="0030467B" w:rsidRPr="00392D42" w:rsidRDefault="0030467B" w:rsidP="0030467B">
            <w:pPr>
              <w:spacing w:after="0"/>
              <w:jc w:val="center"/>
              <w:rPr>
                <w:rFonts w:ascii="Arial" w:hAnsi="Arial" w:cs="Arial"/>
                <w:sz w:val="24"/>
                <w:szCs w:val="24"/>
              </w:rPr>
            </w:pPr>
            <w:r w:rsidRPr="00392D42">
              <w:rPr>
                <w:rFonts w:ascii="Arial" w:hAnsi="Arial" w:cs="Arial"/>
                <w:sz w:val="24"/>
                <w:szCs w:val="24"/>
              </w:rPr>
              <w:t>Non-Commercial portfolio</w:t>
            </w:r>
          </w:p>
        </w:tc>
        <w:tc>
          <w:tcPr>
            <w:tcW w:w="1985" w:type="dxa"/>
            <w:tcBorders>
              <w:top w:val="single" w:sz="24" w:space="0" w:color="FFFFFF"/>
              <w:left w:val="single" w:sz="8" w:space="0" w:color="FFFFFF"/>
              <w:bottom w:val="single" w:sz="8" w:space="0" w:color="FFFFFF"/>
              <w:right w:val="single" w:sz="8" w:space="0" w:color="FFFFFF"/>
            </w:tcBorders>
            <w:shd w:val="clear" w:color="auto" w:fill="DEE7D1"/>
            <w:tcMar>
              <w:top w:w="15" w:type="dxa"/>
              <w:left w:w="100" w:type="dxa"/>
              <w:bottom w:w="0" w:type="dxa"/>
              <w:right w:w="100" w:type="dxa"/>
            </w:tcMar>
            <w:hideMark/>
          </w:tcPr>
          <w:p w:rsidR="0030467B" w:rsidRPr="00392D42" w:rsidRDefault="0030467B" w:rsidP="0030467B">
            <w:pPr>
              <w:spacing w:after="0"/>
              <w:jc w:val="center"/>
              <w:rPr>
                <w:rFonts w:ascii="Arial" w:hAnsi="Arial" w:cs="Arial"/>
                <w:sz w:val="24"/>
                <w:szCs w:val="24"/>
              </w:rPr>
            </w:pPr>
            <w:r w:rsidRPr="00392D42">
              <w:rPr>
                <w:rFonts w:ascii="Arial" w:hAnsi="Arial" w:cs="Arial"/>
                <w:sz w:val="24"/>
                <w:szCs w:val="24"/>
              </w:rPr>
              <w:t>Standardized generic study for the rapid, coordinated clinical investigation of severe or potentially severe acute infections by pathogens of public health interest.</w:t>
            </w:r>
          </w:p>
        </w:tc>
        <w:tc>
          <w:tcPr>
            <w:tcW w:w="1276" w:type="dxa"/>
            <w:tcBorders>
              <w:top w:val="single" w:sz="24" w:space="0" w:color="FFFFFF"/>
              <w:left w:val="single" w:sz="8" w:space="0" w:color="FFFFFF"/>
              <w:bottom w:val="single" w:sz="8" w:space="0" w:color="FFFFFF"/>
              <w:right w:val="single" w:sz="8" w:space="0" w:color="FFFFFF"/>
            </w:tcBorders>
            <w:shd w:val="clear" w:color="auto" w:fill="DEE7D1"/>
            <w:tcMar>
              <w:top w:w="15" w:type="dxa"/>
              <w:left w:w="100" w:type="dxa"/>
              <w:bottom w:w="0" w:type="dxa"/>
              <w:right w:w="100" w:type="dxa"/>
            </w:tcMar>
            <w:hideMark/>
          </w:tcPr>
          <w:p w:rsidR="0030467B" w:rsidRPr="00392D42" w:rsidRDefault="0030467B" w:rsidP="0030467B">
            <w:pPr>
              <w:spacing w:after="0"/>
              <w:jc w:val="center"/>
              <w:rPr>
                <w:rFonts w:ascii="Arial" w:hAnsi="Arial" w:cs="Arial"/>
                <w:sz w:val="24"/>
                <w:szCs w:val="24"/>
              </w:rPr>
            </w:pPr>
            <w:r w:rsidRPr="00392D42">
              <w:rPr>
                <w:rFonts w:ascii="Arial" w:hAnsi="Arial" w:cs="Arial"/>
                <w:sz w:val="24"/>
                <w:szCs w:val="24"/>
              </w:rPr>
              <w:t>Professor Palmieri</w:t>
            </w:r>
          </w:p>
        </w:tc>
        <w:tc>
          <w:tcPr>
            <w:tcW w:w="1275" w:type="dxa"/>
            <w:tcBorders>
              <w:top w:val="single" w:sz="24" w:space="0" w:color="FFFFFF"/>
              <w:left w:val="single" w:sz="8" w:space="0" w:color="FFFFFF"/>
              <w:bottom w:val="single" w:sz="8" w:space="0" w:color="FFFFFF"/>
              <w:right w:val="single" w:sz="8" w:space="0" w:color="FFFFFF"/>
            </w:tcBorders>
            <w:shd w:val="clear" w:color="auto" w:fill="DEE7D1"/>
            <w:tcMar>
              <w:top w:w="15" w:type="dxa"/>
              <w:left w:w="100" w:type="dxa"/>
              <w:bottom w:w="0" w:type="dxa"/>
              <w:right w:w="100" w:type="dxa"/>
            </w:tcMar>
            <w:hideMark/>
          </w:tcPr>
          <w:p w:rsidR="0030467B" w:rsidRPr="00392D42" w:rsidRDefault="0030467B" w:rsidP="0030467B">
            <w:pPr>
              <w:spacing w:after="0"/>
              <w:jc w:val="center"/>
              <w:rPr>
                <w:rFonts w:ascii="Arial" w:hAnsi="Arial" w:cs="Arial"/>
                <w:sz w:val="24"/>
                <w:szCs w:val="24"/>
              </w:rPr>
            </w:pPr>
            <w:r w:rsidRPr="00392D42">
              <w:rPr>
                <w:rFonts w:ascii="Arial" w:hAnsi="Arial" w:cs="Arial"/>
                <w:sz w:val="24"/>
                <w:szCs w:val="24"/>
              </w:rPr>
              <w:t>6</w:t>
            </w:r>
          </w:p>
        </w:tc>
      </w:tr>
      <w:tr w:rsidR="0030467B" w:rsidRPr="00392D42" w:rsidTr="0030467B">
        <w:trPr>
          <w:trHeight w:val="1081"/>
        </w:trPr>
        <w:tc>
          <w:tcPr>
            <w:tcW w:w="2085" w:type="dxa"/>
            <w:tcBorders>
              <w:top w:val="single" w:sz="8" w:space="0" w:color="FFFFFF"/>
              <w:left w:val="single" w:sz="8" w:space="0" w:color="FFFFFF"/>
              <w:bottom w:val="single" w:sz="8" w:space="0" w:color="FFFFFF"/>
              <w:right w:val="single" w:sz="8" w:space="0" w:color="FFFFFF"/>
            </w:tcBorders>
            <w:shd w:val="clear" w:color="auto" w:fill="9BBB59"/>
            <w:tcMar>
              <w:top w:w="15" w:type="dxa"/>
              <w:left w:w="100" w:type="dxa"/>
              <w:bottom w:w="0" w:type="dxa"/>
              <w:right w:w="100" w:type="dxa"/>
            </w:tcMar>
            <w:hideMark/>
          </w:tcPr>
          <w:p w:rsidR="0030467B" w:rsidRPr="00392D42" w:rsidRDefault="0030467B" w:rsidP="0030467B">
            <w:pPr>
              <w:spacing w:after="0"/>
              <w:jc w:val="both"/>
              <w:rPr>
                <w:rFonts w:ascii="Arial" w:hAnsi="Arial" w:cs="Arial"/>
                <w:sz w:val="24"/>
                <w:szCs w:val="24"/>
              </w:rPr>
            </w:pPr>
            <w:r w:rsidRPr="00392D42">
              <w:rPr>
                <w:rFonts w:ascii="Arial" w:hAnsi="Arial" w:cs="Arial"/>
                <w:b/>
                <w:bCs/>
                <w:sz w:val="24"/>
                <w:szCs w:val="24"/>
              </w:rPr>
              <w:t>UK Coronavirus Cancer Monitoring Project</w:t>
            </w:r>
          </w:p>
        </w:tc>
        <w:tc>
          <w:tcPr>
            <w:tcW w:w="2551" w:type="dxa"/>
            <w:tcBorders>
              <w:top w:val="single" w:sz="8" w:space="0" w:color="FFFFFF"/>
              <w:left w:val="single" w:sz="8" w:space="0" w:color="FFFFFF"/>
              <w:bottom w:val="single" w:sz="8" w:space="0" w:color="FFFFFF"/>
              <w:right w:val="single" w:sz="8" w:space="0" w:color="FFFFFF"/>
            </w:tcBorders>
            <w:shd w:val="clear" w:color="auto" w:fill="EFF3EA"/>
            <w:tcMar>
              <w:top w:w="15" w:type="dxa"/>
              <w:left w:w="100" w:type="dxa"/>
              <w:bottom w:w="0" w:type="dxa"/>
              <w:right w:w="100" w:type="dxa"/>
            </w:tcMar>
            <w:hideMark/>
          </w:tcPr>
          <w:p w:rsidR="0030467B" w:rsidRPr="00392D42" w:rsidRDefault="0030467B" w:rsidP="0030467B">
            <w:pPr>
              <w:spacing w:after="0"/>
              <w:jc w:val="center"/>
              <w:rPr>
                <w:rFonts w:ascii="Arial" w:hAnsi="Arial" w:cs="Arial"/>
                <w:sz w:val="24"/>
                <w:szCs w:val="24"/>
              </w:rPr>
            </w:pPr>
            <w:r w:rsidRPr="00392D42">
              <w:rPr>
                <w:rFonts w:ascii="Arial" w:hAnsi="Arial" w:cs="Arial"/>
                <w:sz w:val="24"/>
                <w:szCs w:val="24"/>
              </w:rPr>
              <w:t>Observational Registry</w:t>
            </w:r>
          </w:p>
        </w:tc>
        <w:tc>
          <w:tcPr>
            <w:tcW w:w="1985" w:type="dxa"/>
            <w:tcBorders>
              <w:top w:val="single" w:sz="8" w:space="0" w:color="FFFFFF"/>
              <w:left w:val="single" w:sz="8" w:space="0" w:color="FFFFFF"/>
              <w:bottom w:val="single" w:sz="8" w:space="0" w:color="FFFFFF"/>
              <w:right w:val="single" w:sz="8" w:space="0" w:color="FFFFFF"/>
            </w:tcBorders>
            <w:shd w:val="clear" w:color="auto" w:fill="EFF3EA"/>
            <w:tcMar>
              <w:top w:w="15" w:type="dxa"/>
              <w:left w:w="100" w:type="dxa"/>
              <w:bottom w:w="0" w:type="dxa"/>
              <w:right w:w="100" w:type="dxa"/>
            </w:tcMar>
            <w:hideMark/>
          </w:tcPr>
          <w:p w:rsidR="0030467B" w:rsidRPr="00392D42" w:rsidRDefault="0030467B" w:rsidP="0030467B">
            <w:pPr>
              <w:spacing w:after="0"/>
              <w:jc w:val="center"/>
              <w:rPr>
                <w:rFonts w:ascii="Arial" w:hAnsi="Arial" w:cs="Arial"/>
                <w:sz w:val="24"/>
                <w:szCs w:val="24"/>
              </w:rPr>
            </w:pPr>
            <w:r w:rsidRPr="00392D42">
              <w:rPr>
                <w:rFonts w:ascii="Arial" w:hAnsi="Arial" w:cs="Arial"/>
                <w:sz w:val="24"/>
                <w:szCs w:val="24"/>
              </w:rPr>
              <w:t xml:space="preserve">National database registry audit </w:t>
            </w:r>
          </w:p>
        </w:tc>
        <w:tc>
          <w:tcPr>
            <w:tcW w:w="1276" w:type="dxa"/>
            <w:tcBorders>
              <w:top w:val="single" w:sz="8" w:space="0" w:color="FFFFFF"/>
              <w:left w:val="single" w:sz="8" w:space="0" w:color="FFFFFF"/>
              <w:bottom w:val="single" w:sz="8" w:space="0" w:color="FFFFFF"/>
              <w:right w:val="single" w:sz="8" w:space="0" w:color="FFFFFF"/>
            </w:tcBorders>
            <w:shd w:val="clear" w:color="auto" w:fill="EFF3EA"/>
            <w:tcMar>
              <w:top w:w="15" w:type="dxa"/>
              <w:left w:w="100" w:type="dxa"/>
              <w:bottom w:w="0" w:type="dxa"/>
              <w:right w:w="100" w:type="dxa"/>
            </w:tcMar>
            <w:hideMark/>
          </w:tcPr>
          <w:p w:rsidR="0030467B" w:rsidRPr="00392D42" w:rsidRDefault="0030467B" w:rsidP="0030467B">
            <w:pPr>
              <w:spacing w:after="0"/>
              <w:jc w:val="center"/>
              <w:rPr>
                <w:rFonts w:ascii="Arial" w:hAnsi="Arial" w:cs="Arial"/>
                <w:sz w:val="24"/>
                <w:szCs w:val="24"/>
              </w:rPr>
            </w:pPr>
            <w:r w:rsidRPr="00392D42">
              <w:rPr>
                <w:rFonts w:ascii="Arial" w:hAnsi="Arial" w:cs="Arial"/>
                <w:sz w:val="24"/>
                <w:szCs w:val="24"/>
              </w:rPr>
              <w:t>Dr Olsson-Brown</w:t>
            </w:r>
          </w:p>
        </w:tc>
        <w:tc>
          <w:tcPr>
            <w:tcW w:w="1275" w:type="dxa"/>
            <w:tcBorders>
              <w:top w:val="single" w:sz="8" w:space="0" w:color="FFFFFF"/>
              <w:left w:val="single" w:sz="8" w:space="0" w:color="FFFFFF"/>
              <w:bottom w:val="single" w:sz="8" w:space="0" w:color="FFFFFF"/>
              <w:right w:val="single" w:sz="8" w:space="0" w:color="FFFFFF"/>
            </w:tcBorders>
            <w:shd w:val="clear" w:color="auto" w:fill="EFF3EA"/>
            <w:tcMar>
              <w:top w:w="15" w:type="dxa"/>
              <w:left w:w="100" w:type="dxa"/>
              <w:bottom w:w="0" w:type="dxa"/>
              <w:right w:w="100" w:type="dxa"/>
            </w:tcMar>
            <w:hideMark/>
          </w:tcPr>
          <w:p w:rsidR="0030467B" w:rsidRPr="00392D42" w:rsidRDefault="0030467B" w:rsidP="0030467B">
            <w:pPr>
              <w:spacing w:after="0"/>
              <w:jc w:val="center"/>
              <w:rPr>
                <w:rFonts w:ascii="Arial" w:hAnsi="Arial" w:cs="Arial"/>
                <w:sz w:val="24"/>
                <w:szCs w:val="24"/>
              </w:rPr>
            </w:pPr>
            <w:r w:rsidRPr="00392D42">
              <w:rPr>
                <w:rFonts w:ascii="Arial" w:hAnsi="Arial" w:cs="Arial"/>
                <w:sz w:val="24"/>
                <w:szCs w:val="24"/>
              </w:rPr>
              <w:t>71 identified 55 complete</w:t>
            </w:r>
          </w:p>
        </w:tc>
      </w:tr>
      <w:tr w:rsidR="0030467B" w:rsidRPr="00392D42" w:rsidTr="0030467B">
        <w:trPr>
          <w:trHeight w:val="1176"/>
        </w:trPr>
        <w:tc>
          <w:tcPr>
            <w:tcW w:w="2085" w:type="dxa"/>
            <w:tcBorders>
              <w:top w:val="single" w:sz="8" w:space="0" w:color="FFFFFF"/>
              <w:left w:val="single" w:sz="8" w:space="0" w:color="FFFFFF"/>
              <w:bottom w:val="single" w:sz="8" w:space="0" w:color="FFFFFF"/>
              <w:right w:val="single" w:sz="8" w:space="0" w:color="FFFFFF"/>
            </w:tcBorders>
            <w:shd w:val="clear" w:color="auto" w:fill="9BBB59"/>
            <w:tcMar>
              <w:top w:w="15" w:type="dxa"/>
              <w:left w:w="100" w:type="dxa"/>
              <w:bottom w:w="0" w:type="dxa"/>
              <w:right w:w="100" w:type="dxa"/>
            </w:tcMar>
          </w:tcPr>
          <w:p w:rsidR="0030467B" w:rsidRPr="00392D42" w:rsidRDefault="0030467B" w:rsidP="0030467B">
            <w:pPr>
              <w:spacing w:after="0"/>
              <w:rPr>
                <w:rFonts w:ascii="Arial" w:hAnsi="Arial" w:cs="Arial"/>
                <w:b/>
                <w:sz w:val="24"/>
                <w:szCs w:val="24"/>
              </w:rPr>
            </w:pPr>
            <w:r w:rsidRPr="00392D42">
              <w:rPr>
                <w:rFonts w:ascii="Arial" w:hAnsi="Arial" w:cs="Arial"/>
                <w:b/>
                <w:sz w:val="24"/>
                <w:szCs w:val="24"/>
              </w:rPr>
              <w:lastRenderedPageBreak/>
              <w:t>PACE</w:t>
            </w:r>
          </w:p>
          <w:p w:rsidR="0030467B" w:rsidRPr="00392D42" w:rsidRDefault="0030467B" w:rsidP="0030467B">
            <w:pPr>
              <w:spacing w:after="0"/>
              <w:rPr>
                <w:rFonts w:ascii="Arial" w:hAnsi="Arial" w:cs="Arial"/>
                <w:sz w:val="24"/>
                <w:szCs w:val="24"/>
              </w:rPr>
            </w:pPr>
            <w:r w:rsidRPr="00392D42">
              <w:rPr>
                <w:rFonts w:ascii="Arial" w:hAnsi="Arial" w:cs="Arial"/>
                <w:sz w:val="24"/>
                <w:szCs w:val="24"/>
              </w:rPr>
              <w:t>The impact of COVID-19 on patients with AML undergoing chemotherapy: an epidemiological study</w:t>
            </w:r>
          </w:p>
        </w:tc>
        <w:tc>
          <w:tcPr>
            <w:tcW w:w="2551" w:type="dxa"/>
            <w:tcBorders>
              <w:top w:val="single" w:sz="8" w:space="0" w:color="FFFFFF"/>
              <w:left w:val="single" w:sz="8" w:space="0" w:color="FFFFFF"/>
              <w:bottom w:val="single" w:sz="8" w:space="0" w:color="FFFFFF"/>
              <w:right w:val="single" w:sz="8" w:space="0" w:color="FFFFFF"/>
            </w:tcBorders>
            <w:shd w:val="clear" w:color="auto" w:fill="EFF3EA"/>
            <w:tcMar>
              <w:top w:w="15" w:type="dxa"/>
              <w:left w:w="100" w:type="dxa"/>
              <w:bottom w:w="0" w:type="dxa"/>
              <w:right w:w="100" w:type="dxa"/>
            </w:tcMar>
          </w:tcPr>
          <w:p w:rsidR="0030467B" w:rsidRPr="00392D42" w:rsidRDefault="0030467B" w:rsidP="0030467B">
            <w:pPr>
              <w:rPr>
                <w:rFonts w:ascii="Arial" w:hAnsi="Arial" w:cs="Arial"/>
                <w:sz w:val="24"/>
                <w:szCs w:val="24"/>
              </w:rPr>
            </w:pPr>
            <w:r w:rsidRPr="00392D42">
              <w:rPr>
                <w:rFonts w:ascii="Arial" w:hAnsi="Arial" w:cs="Arial"/>
                <w:sz w:val="24"/>
                <w:szCs w:val="24"/>
              </w:rPr>
              <w:t>Observational/ Epidemiological</w:t>
            </w:r>
          </w:p>
        </w:tc>
        <w:tc>
          <w:tcPr>
            <w:tcW w:w="1985" w:type="dxa"/>
            <w:tcBorders>
              <w:top w:val="single" w:sz="8" w:space="0" w:color="FFFFFF"/>
              <w:left w:val="single" w:sz="8" w:space="0" w:color="FFFFFF"/>
              <w:bottom w:val="single" w:sz="8" w:space="0" w:color="FFFFFF"/>
              <w:right w:val="single" w:sz="8" w:space="0" w:color="FFFFFF"/>
            </w:tcBorders>
            <w:shd w:val="clear" w:color="auto" w:fill="EFF3EA"/>
            <w:tcMar>
              <w:top w:w="15" w:type="dxa"/>
              <w:left w:w="100" w:type="dxa"/>
              <w:bottom w:w="0" w:type="dxa"/>
              <w:right w:w="100" w:type="dxa"/>
            </w:tcMar>
          </w:tcPr>
          <w:p w:rsidR="0030467B" w:rsidRPr="00392D42" w:rsidRDefault="0030467B" w:rsidP="00392D42">
            <w:pPr>
              <w:spacing w:after="0"/>
              <w:jc w:val="center"/>
              <w:rPr>
                <w:rFonts w:ascii="Arial" w:hAnsi="Arial" w:cs="Arial"/>
                <w:sz w:val="24"/>
                <w:szCs w:val="24"/>
              </w:rPr>
            </w:pPr>
            <w:r w:rsidRPr="00392D42">
              <w:rPr>
                <w:rFonts w:ascii="Arial" w:hAnsi="Arial" w:cs="Arial"/>
                <w:sz w:val="24"/>
                <w:szCs w:val="24"/>
              </w:rPr>
              <w:t>The impact of COVID-19 on patients with AML undergoing chemotherapy</w:t>
            </w:r>
          </w:p>
        </w:tc>
        <w:tc>
          <w:tcPr>
            <w:tcW w:w="1276" w:type="dxa"/>
            <w:tcBorders>
              <w:top w:val="single" w:sz="8" w:space="0" w:color="FFFFFF"/>
              <w:left w:val="single" w:sz="8" w:space="0" w:color="FFFFFF"/>
              <w:bottom w:val="single" w:sz="8" w:space="0" w:color="FFFFFF"/>
              <w:right w:val="single" w:sz="8" w:space="0" w:color="FFFFFF"/>
            </w:tcBorders>
            <w:shd w:val="clear" w:color="auto" w:fill="EFF3EA"/>
            <w:tcMar>
              <w:top w:w="15" w:type="dxa"/>
              <w:left w:w="100" w:type="dxa"/>
              <w:bottom w:w="0" w:type="dxa"/>
              <w:right w:w="100" w:type="dxa"/>
            </w:tcMar>
          </w:tcPr>
          <w:p w:rsidR="0030467B" w:rsidRPr="00392D42" w:rsidRDefault="0030467B" w:rsidP="0030467B">
            <w:pPr>
              <w:spacing w:after="0"/>
              <w:jc w:val="center"/>
              <w:rPr>
                <w:rFonts w:ascii="Arial" w:hAnsi="Arial" w:cs="Arial"/>
                <w:sz w:val="24"/>
                <w:szCs w:val="24"/>
              </w:rPr>
            </w:pPr>
            <w:r w:rsidRPr="00392D42">
              <w:rPr>
                <w:rFonts w:ascii="Arial" w:hAnsi="Arial" w:cs="Arial"/>
                <w:sz w:val="24"/>
                <w:szCs w:val="24"/>
              </w:rPr>
              <w:t>Dr Toth</w:t>
            </w:r>
          </w:p>
        </w:tc>
        <w:tc>
          <w:tcPr>
            <w:tcW w:w="1275" w:type="dxa"/>
            <w:tcBorders>
              <w:top w:val="single" w:sz="8" w:space="0" w:color="FFFFFF"/>
              <w:left w:val="single" w:sz="8" w:space="0" w:color="FFFFFF"/>
              <w:bottom w:val="single" w:sz="8" w:space="0" w:color="FFFFFF"/>
              <w:right w:val="single" w:sz="8" w:space="0" w:color="FFFFFF"/>
            </w:tcBorders>
            <w:shd w:val="clear" w:color="auto" w:fill="EFF3EA"/>
            <w:tcMar>
              <w:top w:w="15" w:type="dxa"/>
              <w:left w:w="100" w:type="dxa"/>
              <w:bottom w:w="0" w:type="dxa"/>
              <w:right w:w="100" w:type="dxa"/>
            </w:tcMar>
          </w:tcPr>
          <w:p w:rsidR="0030467B" w:rsidRPr="00392D42" w:rsidRDefault="0030467B" w:rsidP="0030467B">
            <w:pPr>
              <w:spacing w:after="0"/>
              <w:jc w:val="center"/>
              <w:rPr>
                <w:rFonts w:ascii="Arial" w:hAnsi="Arial" w:cs="Arial"/>
                <w:sz w:val="24"/>
                <w:szCs w:val="24"/>
              </w:rPr>
            </w:pPr>
            <w:r w:rsidRPr="00392D42">
              <w:rPr>
                <w:rFonts w:ascii="Arial" w:hAnsi="Arial" w:cs="Arial"/>
                <w:sz w:val="24"/>
                <w:szCs w:val="24"/>
              </w:rPr>
              <w:t>0 (opened 28/05/2020)</w:t>
            </w:r>
          </w:p>
        </w:tc>
      </w:tr>
    </w:tbl>
    <w:p w:rsidR="00A36BA4" w:rsidRDefault="00A36BA4" w:rsidP="0030467B">
      <w:pPr>
        <w:jc w:val="both"/>
        <w:rPr>
          <w:rFonts w:ascii="Arial" w:hAnsi="Arial" w:cs="Arial"/>
          <w:sz w:val="24"/>
          <w:szCs w:val="24"/>
        </w:rPr>
      </w:pPr>
    </w:p>
    <w:p w:rsidR="0030467B" w:rsidRPr="00392D42" w:rsidRDefault="0030467B" w:rsidP="0030467B">
      <w:pPr>
        <w:jc w:val="both"/>
        <w:rPr>
          <w:rFonts w:ascii="Arial" w:hAnsi="Arial" w:cs="Arial"/>
          <w:sz w:val="24"/>
          <w:szCs w:val="24"/>
        </w:rPr>
      </w:pPr>
      <w:r w:rsidRPr="00392D42">
        <w:rPr>
          <w:rFonts w:ascii="Arial" w:hAnsi="Arial" w:cs="Arial"/>
          <w:sz w:val="24"/>
          <w:szCs w:val="24"/>
        </w:rPr>
        <w:t>There are four studies we are currently setting up, as shown below:</w:t>
      </w:r>
    </w:p>
    <w:tbl>
      <w:tblPr>
        <w:tblW w:w="9168" w:type="dxa"/>
        <w:tblCellMar>
          <w:left w:w="0" w:type="dxa"/>
          <w:right w:w="0" w:type="dxa"/>
        </w:tblCellMar>
        <w:tblLook w:val="04A0" w:firstRow="1" w:lastRow="0" w:firstColumn="1" w:lastColumn="0" w:noHBand="0" w:noVBand="1"/>
      </w:tblPr>
      <w:tblGrid>
        <w:gridCol w:w="1789"/>
        <w:gridCol w:w="1690"/>
        <w:gridCol w:w="3032"/>
        <w:gridCol w:w="1503"/>
        <w:gridCol w:w="1154"/>
      </w:tblGrid>
      <w:tr w:rsidR="0030467B" w:rsidRPr="00392D42" w:rsidTr="0030467B">
        <w:trPr>
          <w:trHeight w:val="441"/>
        </w:trPr>
        <w:tc>
          <w:tcPr>
            <w:tcW w:w="1972" w:type="dxa"/>
            <w:tcBorders>
              <w:top w:val="single" w:sz="8" w:space="0" w:color="FFFFFF"/>
              <w:left w:val="single" w:sz="8" w:space="0" w:color="FFFFFF"/>
              <w:bottom w:val="single" w:sz="24" w:space="0" w:color="FFFFFF"/>
              <w:right w:val="single" w:sz="8" w:space="0" w:color="FFFFFF"/>
            </w:tcBorders>
            <w:shd w:val="clear" w:color="auto" w:fill="9BBB59"/>
            <w:tcMar>
              <w:top w:w="15" w:type="dxa"/>
              <w:left w:w="71" w:type="dxa"/>
              <w:bottom w:w="0" w:type="dxa"/>
              <w:right w:w="71" w:type="dxa"/>
            </w:tcMar>
            <w:hideMark/>
          </w:tcPr>
          <w:p w:rsidR="0030467B" w:rsidRPr="00392D42" w:rsidRDefault="0030467B" w:rsidP="0030467B">
            <w:pPr>
              <w:spacing w:after="0"/>
              <w:jc w:val="both"/>
              <w:rPr>
                <w:rFonts w:ascii="Arial" w:hAnsi="Arial" w:cs="Arial"/>
                <w:sz w:val="24"/>
                <w:szCs w:val="24"/>
              </w:rPr>
            </w:pPr>
            <w:r w:rsidRPr="00392D42">
              <w:rPr>
                <w:rFonts w:ascii="Arial" w:hAnsi="Arial" w:cs="Arial"/>
                <w:b/>
                <w:bCs/>
                <w:sz w:val="24"/>
                <w:szCs w:val="24"/>
              </w:rPr>
              <w:t>Short Title</w:t>
            </w:r>
          </w:p>
        </w:tc>
        <w:tc>
          <w:tcPr>
            <w:tcW w:w="1501" w:type="dxa"/>
            <w:tcBorders>
              <w:top w:val="single" w:sz="8" w:space="0" w:color="FFFFFF"/>
              <w:left w:val="single" w:sz="8" w:space="0" w:color="FFFFFF"/>
              <w:bottom w:val="single" w:sz="24" w:space="0" w:color="FFFFFF"/>
              <w:right w:val="single" w:sz="8" w:space="0" w:color="FFFFFF"/>
            </w:tcBorders>
            <w:shd w:val="clear" w:color="auto" w:fill="9BBB59"/>
            <w:tcMar>
              <w:top w:w="15" w:type="dxa"/>
              <w:left w:w="71" w:type="dxa"/>
              <w:bottom w:w="0" w:type="dxa"/>
              <w:right w:w="71" w:type="dxa"/>
            </w:tcMar>
            <w:hideMark/>
          </w:tcPr>
          <w:p w:rsidR="0030467B" w:rsidRPr="00392D42" w:rsidRDefault="0030467B" w:rsidP="0030467B">
            <w:pPr>
              <w:spacing w:after="0"/>
              <w:jc w:val="both"/>
              <w:rPr>
                <w:rFonts w:ascii="Arial" w:hAnsi="Arial" w:cs="Arial"/>
                <w:sz w:val="24"/>
                <w:szCs w:val="24"/>
              </w:rPr>
            </w:pPr>
            <w:r w:rsidRPr="00392D42">
              <w:rPr>
                <w:rFonts w:ascii="Arial" w:hAnsi="Arial" w:cs="Arial"/>
                <w:b/>
                <w:bCs/>
                <w:sz w:val="24"/>
                <w:szCs w:val="24"/>
              </w:rPr>
              <w:t>Type</w:t>
            </w:r>
          </w:p>
        </w:tc>
        <w:tc>
          <w:tcPr>
            <w:tcW w:w="3799" w:type="dxa"/>
            <w:tcBorders>
              <w:top w:val="single" w:sz="8" w:space="0" w:color="FFFFFF"/>
              <w:left w:val="single" w:sz="8" w:space="0" w:color="FFFFFF"/>
              <w:bottom w:val="single" w:sz="24" w:space="0" w:color="FFFFFF"/>
              <w:right w:val="single" w:sz="8" w:space="0" w:color="FFFFFF"/>
            </w:tcBorders>
            <w:shd w:val="clear" w:color="auto" w:fill="9BBB59"/>
            <w:tcMar>
              <w:top w:w="15" w:type="dxa"/>
              <w:left w:w="71" w:type="dxa"/>
              <w:bottom w:w="0" w:type="dxa"/>
              <w:right w:w="71" w:type="dxa"/>
            </w:tcMar>
            <w:hideMark/>
          </w:tcPr>
          <w:p w:rsidR="0030467B" w:rsidRPr="00392D42" w:rsidRDefault="0030467B" w:rsidP="0030467B">
            <w:pPr>
              <w:spacing w:after="0"/>
              <w:jc w:val="both"/>
              <w:rPr>
                <w:rFonts w:ascii="Arial" w:hAnsi="Arial" w:cs="Arial"/>
                <w:sz w:val="24"/>
                <w:szCs w:val="24"/>
              </w:rPr>
            </w:pPr>
            <w:r w:rsidRPr="00392D42">
              <w:rPr>
                <w:rFonts w:ascii="Arial" w:hAnsi="Arial" w:cs="Arial"/>
                <w:b/>
                <w:bCs/>
                <w:sz w:val="24"/>
                <w:szCs w:val="24"/>
              </w:rPr>
              <w:t>Short Summary</w:t>
            </w:r>
          </w:p>
        </w:tc>
        <w:tc>
          <w:tcPr>
            <w:tcW w:w="1039" w:type="dxa"/>
            <w:tcBorders>
              <w:top w:val="single" w:sz="8" w:space="0" w:color="FFFFFF"/>
              <w:left w:val="single" w:sz="8" w:space="0" w:color="FFFFFF"/>
              <w:bottom w:val="single" w:sz="24" w:space="0" w:color="FFFFFF"/>
              <w:right w:val="single" w:sz="8" w:space="0" w:color="FFFFFF"/>
            </w:tcBorders>
            <w:shd w:val="clear" w:color="auto" w:fill="9BBB59"/>
            <w:tcMar>
              <w:top w:w="15" w:type="dxa"/>
              <w:left w:w="71" w:type="dxa"/>
              <w:bottom w:w="0" w:type="dxa"/>
              <w:right w:w="71" w:type="dxa"/>
            </w:tcMar>
            <w:hideMark/>
          </w:tcPr>
          <w:p w:rsidR="0030467B" w:rsidRPr="00392D42" w:rsidRDefault="0030467B" w:rsidP="0030467B">
            <w:pPr>
              <w:spacing w:after="0"/>
              <w:jc w:val="both"/>
              <w:rPr>
                <w:rFonts w:ascii="Arial" w:hAnsi="Arial" w:cs="Arial"/>
                <w:sz w:val="24"/>
                <w:szCs w:val="24"/>
              </w:rPr>
            </w:pPr>
            <w:r w:rsidRPr="00392D42">
              <w:rPr>
                <w:rFonts w:ascii="Arial" w:hAnsi="Arial" w:cs="Arial"/>
                <w:b/>
                <w:bCs/>
                <w:sz w:val="24"/>
                <w:szCs w:val="24"/>
              </w:rPr>
              <w:t>Principal Investigator</w:t>
            </w:r>
          </w:p>
        </w:tc>
        <w:tc>
          <w:tcPr>
            <w:tcW w:w="857" w:type="dxa"/>
            <w:tcBorders>
              <w:top w:val="single" w:sz="8" w:space="0" w:color="FFFFFF"/>
              <w:left w:val="single" w:sz="8" w:space="0" w:color="FFFFFF"/>
              <w:bottom w:val="single" w:sz="24" w:space="0" w:color="FFFFFF"/>
              <w:right w:val="single" w:sz="8" w:space="0" w:color="FFFFFF"/>
            </w:tcBorders>
            <w:shd w:val="clear" w:color="auto" w:fill="9BBB59"/>
          </w:tcPr>
          <w:p w:rsidR="0030467B" w:rsidRPr="00392D42" w:rsidRDefault="0030467B" w:rsidP="0030467B">
            <w:pPr>
              <w:spacing w:after="0"/>
              <w:jc w:val="both"/>
              <w:rPr>
                <w:rFonts w:ascii="Arial" w:hAnsi="Arial" w:cs="Arial"/>
                <w:b/>
                <w:bCs/>
                <w:sz w:val="24"/>
                <w:szCs w:val="24"/>
              </w:rPr>
            </w:pPr>
            <w:r w:rsidRPr="00392D42">
              <w:rPr>
                <w:rFonts w:ascii="Arial" w:hAnsi="Arial" w:cs="Arial"/>
                <w:b/>
                <w:bCs/>
                <w:sz w:val="24"/>
                <w:szCs w:val="24"/>
              </w:rPr>
              <w:t>Cases identified/ Update</w:t>
            </w:r>
          </w:p>
        </w:tc>
      </w:tr>
      <w:tr w:rsidR="0030467B" w:rsidRPr="00392D42" w:rsidTr="0030467B">
        <w:trPr>
          <w:trHeight w:val="1578"/>
        </w:trPr>
        <w:tc>
          <w:tcPr>
            <w:tcW w:w="1972" w:type="dxa"/>
            <w:tcBorders>
              <w:top w:val="single" w:sz="24" w:space="0" w:color="FFFFFF"/>
              <w:left w:val="single" w:sz="8" w:space="0" w:color="FFFFFF"/>
              <w:bottom w:val="single" w:sz="8" w:space="0" w:color="FFFFFF"/>
              <w:right w:val="single" w:sz="8" w:space="0" w:color="FFFFFF"/>
            </w:tcBorders>
            <w:shd w:val="clear" w:color="auto" w:fill="9BBB59"/>
            <w:tcMar>
              <w:top w:w="15" w:type="dxa"/>
              <w:left w:w="71" w:type="dxa"/>
              <w:bottom w:w="0" w:type="dxa"/>
              <w:right w:w="71" w:type="dxa"/>
            </w:tcMar>
            <w:hideMark/>
          </w:tcPr>
          <w:p w:rsidR="0030467B" w:rsidRPr="00392D42" w:rsidRDefault="0030467B" w:rsidP="0030467B">
            <w:pPr>
              <w:spacing w:after="0"/>
              <w:jc w:val="both"/>
              <w:rPr>
                <w:rFonts w:ascii="Arial" w:hAnsi="Arial" w:cs="Arial"/>
                <w:sz w:val="24"/>
                <w:szCs w:val="24"/>
              </w:rPr>
            </w:pPr>
            <w:r w:rsidRPr="00392D42">
              <w:rPr>
                <w:rFonts w:ascii="Arial" w:hAnsi="Arial" w:cs="Arial"/>
                <w:b/>
                <w:bCs/>
                <w:sz w:val="24"/>
                <w:szCs w:val="24"/>
              </w:rPr>
              <w:t>RECOVERY</w:t>
            </w:r>
          </w:p>
          <w:p w:rsidR="0030467B" w:rsidRPr="00392D42" w:rsidRDefault="0030467B" w:rsidP="0030467B">
            <w:pPr>
              <w:spacing w:after="0"/>
              <w:jc w:val="both"/>
              <w:rPr>
                <w:rFonts w:ascii="Arial" w:hAnsi="Arial" w:cs="Arial"/>
                <w:sz w:val="24"/>
                <w:szCs w:val="24"/>
              </w:rPr>
            </w:pPr>
            <w:r w:rsidRPr="00392D42">
              <w:rPr>
                <w:rFonts w:ascii="Arial" w:hAnsi="Arial" w:cs="Arial"/>
                <w:b/>
                <w:bCs/>
                <w:sz w:val="24"/>
                <w:szCs w:val="24"/>
              </w:rPr>
              <w:t> </w:t>
            </w:r>
          </w:p>
        </w:tc>
        <w:tc>
          <w:tcPr>
            <w:tcW w:w="1501" w:type="dxa"/>
            <w:tcBorders>
              <w:top w:val="single" w:sz="24" w:space="0" w:color="FFFFFF"/>
              <w:left w:val="single" w:sz="8" w:space="0" w:color="FFFFFF"/>
              <w:bottom w:val="single" w:sz="8" w:space="0" w:color="FFFFFF"/>
              <w:right w:val="single" w:sz="8" w:space="0" w:color="FFFFFF"/>
            </w:tcBorders>
            <w:shd w:val="clear" w:color="auto" w:fill="DEE7D1"/>
            <w:tcMar>
              <w:top w:w="15" w:type="dxa"/>
              <w:left w:w="71" w:type="dxa"/>
              <w:bottom w:w="0" w:type="dxa"/>
              <w:right w:w="71" w:type="dxa"/>
            </w:tcMar>
            <w:hideMark/>
          </w:tcPr>
          <w:p w:rsidR="0030467B" w:rsidRPr="00392D42" w:rsidRDefault="0030467B" w:rsidP="0030467B">
            <w:pPr>
              <w:spacing w:after="0"/>
              <w:jc w:val="both"/>
              <w:rPr>
                <w:rFonts w:ascii="Arial" w:hAnsi="Arial" w:cs="Arial"/>
                <w:sz w:val="24"/>
                <w:szCs w:val="24"/>
              </w:rPr>
            </w:pPr>
            <w:r w:rsidRPr="00392D42">
              <w:rPr>
                <w:rFonts w:ascii="Arial" w:hAnsi="Arial" w:cs="Arial"/>
                <w:sz w:val="24"/>
                <w:szCs w:val="24"/>
              </w:rPr>
              <w:t>Phase II/ III</w:t>
            </w:r>
          </w:p>
          <w:p w:rsidR="0030467B" w:rsidRPr="00392D42" w:rsidRDefault="0030467B" w:rsidP="0030467B">
            <w:pPr>
              <w:spacing w:after="0"/>
              <w:jc w:val="both"/>
              <w:rPr>
                <w:rFonts w:ascii="Arial" w:hAnsi="Arial" w:cs="Arial"/>
                <w:sz w:val="24"/>
                <w:szCs w:val="24"/>
              </w:rPr>
            </w:pPr>
            <w:r w:rsidRPr="00392D42">
              <w:rPr>
                <w:rFonts w:ascii="Arial" w:hAnsi="Arial" w:cs="Arial"/>
                <w:sz w:val="24"/>
                <w:szCs w:val="24"/>
              </w:rPr>
              <w:t>Non-Commercial portfolio</w:t>
            </w:r>
          </w:p>
          <w:p w:rsidR="0030467B" w:rsidRPr="00392D42" w:rsidRDefault="0030467B" w:rsidP="0030467B">
            <w:pPr>
              <w:spacing w:after="0"/>
              <w:jc w:val="both"/>
              <w:rPr>
                <w:rFonts w:ascii="Arial" w:hAnsi="Arial" w:cs="Arial"/>
                <w:sz w:val="24"/>
                <w:szCs w:val="24"/>
              </w:rPr>
            </w:pPr>
            <w:r w:rsidRPr="00392D42">
              <w:rPr>
                <w:rFonts w:ascii="Arial" w:hAnsi="Arial" w:cs="Arial"/>
                <w:sz w:val="24"/>
                <w:szCs w:val="24"/>
              </w:rPr>
              <w:t> </w:t>
            </w:r>
          </w:p>
        </w:tc>
        <w:tc>
          <w:tcPr>
            <w:tcW w:w="3799" w:type="dxa"/>
            <w:tcBorders>
              <w:top w:val="single" w:sz="24" w:space="0" w:color="FFFFFF"/>
              <w:left w:val="single" w:sz="8" w:space="0" w:color="FFFFFF"/>
              <w:bottom w:val="single" w:sz="8" w:space="0" w:color="FFFFFF"/>
              <w:right w:val="single" w:sz="8" w:space="0" w:color="FFFFFF"/>
            </w:tcBorders>
            <w:shd w:val="clear" w:color="auto" w:fill="DEE7D1"/>
            <w:tcMar>
              <w:top w:w="15" w:type="dxa"/>
              <w:left w:w="71" w:type="dxa"/>
              <w:bottom w:w="0" w:type="dxa"/>
              <w:right w:w="71" w:type="dxa"/>
            </w:tcMar>
            <w:hideMark/>
          </w:tcPr>
          <w:p w:rsidR="0030467B" w:rsidRPr="00392D42" w:rsidRDefault="0030467B" w:rsidP="0030467B">
            <w:pPr>
              <w:spacing w:after="0"/>
              <w:jc w:val="both"/>
              <w:rPr>
                <w:rFonts w:ascii="Arial" w:hAnsi="Arial" w:cs="Arial"/>
                <w:sz w:val="24"/>
                <w:szCs w:val="24"/>
              </w:rPr>
            </w:pPr>
            <w:r w:rsidRPr="00392D42">
              <w:rPr>
                <w:rFonts w:ascii="Arial" w:hAnsi="Arial" w:cs="Arial"/>
                <w:sz w:val="24"/>
                <w:szCs w:val="24"/>
              </w:rPr>
              <w:t xml:space="preserve">RECOVERY-RS Respiratory Support: Respiratory Strategies in COVID-19; CPAP, High-flow, and standard care: Emerging Respiratory Virus Threats Advisory Group (NERVTAG) advised that several possible treatments should be evaluated, including Lopinavir-Ritonavir, Interferon β, corticosteroids, and Remdesivir. </w:t>
            </w:r>
          </w:p>
        </w:tc>
        <w:tc>
          <w:tcPr>
            <w:tcW w:w="1039" w:type="dxa"/>
            <w:tcBorders>
              <w:top w:val="single" w:sz="24" w:space="0" w:color="FFFFFF"/>
              <w:left w:val="single" w:sz="8" w:space="0" w:color="FFFFFF"/>
              <w:bottom w:val="single" w:sz="8" w:space="0" w:color="FFFFFF"/>
              <w:right w:val="single" w:sz="8" w:space="0" w:color="FFFFFF"/>
            </w:tcBorders>
            <w:shd w:val="clear" w:color="auto" w:fill="DEE7D1"/>
            <w:tcMar>
              <w:top w:w="15" w:type="dxa"/>
              <w:left w:w="71" w:type="dxa"/>
              <w:bottom w:w="0" w:type="dxa"/>
              <w:right w:w="71" w:type="dxa"/>
            </w:tcMar>
            <w:hideMark/>
          </w:tcPr>
          <w:p w:rsidR="0030467B" w:rsidRPr="00392D42" w:rsidRDefault="0030467B" w:rsidP="0030467B">
            <w:pPr>
              <w:spacing w:after="0"/>
              <w:jc w:val="both"/>
              <w:rPr>
                <w:rFonts w:ascii="Arial" w:hAnsi="Arial" w:cs="Arial"/>
                <w:sz w:val="24"/>
                <w:szCs w:val="24"/>
              </w:rPr>
            </w:pPr>
            <w:r w:rsidRPr="00392D42">
              <w:rPr>
                <w:rFonts w:ascii="Arial" w:hAnsi="Arial" w:cs="Arial"/>
                <w:sz w:val="24"/>
                <w:szCs w:val="24"/>
              </w:rPr>
              <w:t>Dr Ali</w:t>
            </w:r>
          </w:p>
        </w:tc>
        <w:tc>
          <w:tcPr>
            <w:tcW w:w="857" w:type="dxa"/>
            <w:tcBorders>
              <w:top w:val="single" w:sz="24" w:space="0" w:color="FFFFFF"/>
              <w:left w:val="single" w:sz="8" w:space="0" w:color="FFFFFF"/>
              <w:bottom w:val="single" w:sz="8" w:space="0" w:color="FFFFFF"/>
              <w:right w:val="single" w:sz="8" w:space="0" w:color="FFFFFF"/>
            </w:tcBorders>
            <w:shd w:val="clear" w:color="auto" w:fill="DEE7D1"/>
          </w:tcPr>
          <w:p w:rsidR="0030467B" w:rsidRPr="00392D42" w:rsidRDefault="0030467B" w:rsidP="0030467B">
            <w:pPr>
              <w:spacing w:after="0"/>
              <w:jc w:val="both"/>
              <w:rPr>
                <w:rFonts w:ascii="Arial" w:hAnsi="Arial" w:cs="Arial"/>
                <w:sz w:val="24"/>
                <w:szCs w:val="24"/>
              </w:rPr>
            </w:pPr>
            <w:r w:rsidRPr="00392D42">
              <w:rPr>
                <w:rFonts w:ascii="Arial" w:hAnsi="Arial" w:cs="Arial"/>
                <w:sz w:val="24"/>
                <w:szCs w:val="24"/>
              </w:rPr>
              <w:t>Awaiting pathway mapping</w:t>
            </w:r>
          </w:p>
        </w:tc>
      </w:tr>
      <w:tr w:rsidR="0030467B" w:rsidRPr="00392D42" w:rsidTr="0030467B">
        <w:trPr>
          <w:trHeight w:val="947"/>
        </w:trPr>
        <w:tc>
          <w:tcPr>
            <w:tcW w:w="1972" w:type="dxa"/>
            <w:tcBorders>
              <w:top w:val="single" w:sz="8" w:space="0" w:color="FFFFFF"/>
              <w:left w:val="single" w:sz="8" w:space="0" w:color="FFFFFF"/>
              <w:bottom w:val="single" w:sz="8" w:space="0" w:color="FFFFFF"/>
              <w:right w:val="single" w:sz="8" w:space="0" w:color="FFFFFF"/>
            </w:tcBorders>
            <w:shd w:val="clear" w:color="auto" w:fill="9BBB59"/>
            <w:tcMar>
              <w:top w:w="15" w:type="dxa"/>
              <w:left w:w="71" w:type="dxa"/>
              <w:bottom w:w="0" w:type="dxa"/>
              <w:right w:w="71" w:type="dxa"/>
            </w:tcMar>
            <w:hideMark/>
          </w:tcPr>
          <w:p w:rsidR="0030467B" w:rsidRPr="00392D42" w:rsidRDefault="0030467B" w:rsidP="00392D42">
            <w:pPr>
              <w:spacing w:after="0"/>
              <w:rPr>
                <w:rFonts w:ascii="Arial" w:hAnsi="Arial" w:cs="Arial"/>
                <w:sz w:val="24"/>
                <w:szCs w:val="24"/>
              </w:rPr>
            </w:pPr>
            <w:r w:rsidRPr="00392D42">
              <w:rPr>
                <w:rFonts w:ascii="Arial" w:hAnsi="Arial" w:cs="Arial"/>
                <w:b/>
                <w:bCs/>
                <w:sz w:val="24"/>
                <w:szCs w:val="24"/>
              </w:rPr>
              <w:t>CovidRT: a NCRI CTRad UK-wide initiative</w:t>
            </w:r>
          </w:p>
          <w:p w:rsidR="0030467B" w:rsidRPr="00392D42" w:rsidRDefault="0030467B" w:rsidP="00392D42">
            <w:pPr>
              <w:spacing w:after="0"/>
              <w:rPr>
                <w:rFonts w:ascii="Arial" w:hAnsi="Arial" w:cs="Arial"/>
                <w:sz w:val="24"/>
                <w:szCs w:val="24"/>
              </w:rPr>
            </w:pPr>
            <w:r w:rsidRPr="00392D42">
              <w:rPr>
                <w:rFonts w:ascii="Arial" w:hAnsi="Arial" w:cs="Arial"/>
                <w:b/>
                <w:bCs/>
                <w:sz w:val="24"/>
                <w:szCs w:val="24"/>
              </w:rPr>
              <w:t> </w:t>
            </w:r>
          </w:p>
        </w:tc>
        <w:tc>
          <w:tcPr>
            <w:tcW w:w="1501" w:type="dxa"/>
            <w:tcBorders>
              <w:top w:val="single" w:sz="8" w:space="0" w:color="FFFFFF"/>
              <w:left w:val="single" w:sz="8" w:space="0" w:color="FFFFFF"/>
              <w:bottom w:val="single" w:sz="8" w:space="0" w:color="FFFFFF"/>
              <w:right w:val="single" w:sz="8" w:space="0" w:color="FFFFFF"/>
            </w:tcBorders>
            <w:shd w:val="clear" w:color="auto" w:fill="EFF3EA"/>
            <w:tcMar>
              <w:top w:w="15" w:type="dxa"/>
              <w:left w:w="71" w:type="dxa"/>
              <w:bottom w:w="0" w:type="dxa"/>
              <w:right w:w="71" w:type="dxa"/>
            </w:tcMar>
            <w:hideMark/>
          </w:tcPr>
          <w:p w:rsidR="0030467B" w:rsidRPr="00392D42" w:rsidRDefault="0030467B" w:rsidP="0030467B">
            <w:pPr>
              <w:spacing w:after="0"/>
              <w:jc w:val="both"/>
              <w:rPr>
                <w:rFonts w:ascii="Arial" w:hAnsi="Arial" w:cs="Arial"/>
                <w:sz w:val="24"/>
                <w:szCs w:val="24"/>
              </w:rPr>
            </w:pPr>
            <w:r w:rsidRPr="00392D42">
              <w:rPr>
                <w:rFonts w:ascii="Arial" w:hAnsi="Arial" w:cs="Arial"/>
                <w:sz w:val="24"/>
                <w:szCs w:val="24"/>
              </w:rPr>
              <w:t>Observational</w:t>
            </w:r>
          </w:p>
        </w:tc>
        <w:tc>
          <w:tcPr>
            <w:tcW w:w="3799" w:type="dxa"/>
            <w:tcBorders>
              <w:top w:val="single" w:sz="8" w:space="0" w:color="FFFFFF"/>
              <w:left w:val="single" w:sz="8" w:space="0" w:color="FFFFFF"/>
              <w:bottom w:val="single" w:sz="8" w:space="0" w:color="FFFFFF"/>
              <w:right w:val="single" w:sz="8" w:space="0" w:color="FFFFFF"/>
            </w:tcBorders>
            <w:shd w:val="clear" w:color="auto" w:fill="EFF3EA"/>
            <w:tcMar>
              <w:top w:w="15" w:type="dxa"/>
              <w:left w:w="71" w:type="dxa"/>
              <w:bottom w:w="0" w:type="dxa"/>
              <w:right w:w="71" w:type="dxa"/>
            </w:tcMar>
            <w:hideMark/>
          </w:tcPr>
          <w:p w:rsidR="0030467B" w:rsidRPr="00392D42" w:rsidRDefault="0030467B" w:rsidP="0030467B">
            <w:pPr>
              <w:spacing w:after="0"/>
              <w:jc w:val="both"/>
              <w:rPr>
                <w:rFonts w:ascii="Arial" w:hAnsi="Arial" w:cs="Arial"/>
                <w:sz w:val="24"/>
                <w:szCs w:val="24"/>
              </w:rPr>
            </w:pPr>
            <w:r w:rsidRPr="00392D42">
              <w:rPr>
                <w:rFonts w:ascii="Arial" w:hAnsi="Arial" w:cs="Arial"/>
                <w:sz w:val="24"/>
                <w:szCs w:val="24"/>
              </w:rPr>
              <w:t>National initiative that aims to study the impact of COVID 19 and the recovery plan on radiotherapy patients and the radiotherapy service and help plan for future pandemics.</w:t>
            </w:r>
          </w:p>
        </w:tc>
        <w:tc>
          <w:tcPr>
            <w:tcW w:w="1039" w:type="dxa"/>
            <w:tcBorders>
              <w:top w:val="single" w:sz="8" w:space="0" w:color="FFFFFF"/>
              <w:left w:val="single" w:sz="8" w:space="0" w:color="FFFFFF"/>
              <w:bottom w:val="single" w:sz="8" w:space="0" w:color="FFFFFF"/>
              <w:right w:val="single" w:sz="8" w:space="0" w:color="FFFFFF"/>
            </w:tcBorders>
            <w:shd w:val="clear" w:color="auto" w:fill="EFF3EA"/>
            <w:tcMar>
              <w:top w:w="15" w:type="dxa"/>
              <w:left w:w="71" w:type="dxa"/>
              <w:bottom w:w="0" w:type="dxa"/>
              <w:right w:w="71" w:type="dxa"/>
            </w:tcMar>
            <w:hideMark/>
          </w:tcPr>
          <w:p w:rsidR="0030467B" w:rsidRPr="00392D42" w:rsidRDefault="0030467B" w:rsidP="0030467B">
            <w:pPr>
              <w:spacing w:after="0"/>
              <w:jc w:val="both"/>
              <w:rPr>
                <w:rFonts w:ascii="Arial" w:hAnsi="Arial" w:cs="Arial"/>
                <w:sz w:val="24"/>
                <w:szCs w:val="24"/>
              </w:rPr>
            </w:pPr>
            <w:r w:rsidRPr="00392D42">
              <w:rPr>
                <w:rFonts w:ascii="Arial" w:hAnsi="Arial" w:cs="Arial"/>
                <w:sz w:val="24"/>
                <w:szCs w:val="24"/>
              </w:rPr>
              <w:t>TBC</w:t>
            </w:r>
          </w:p>
        </w:tc>
        <w:tc>
          <w:tcPr>
            <w:tcW w:w="857" w:type="dxa"/>
            <w:tcBorders>
              <w:top w:val="single" w:sz="8" w:space="0" w:color="FFFFFF"/>
              <w:left w:val="single" w:sz="8" w:space="0" w:color="FFFFFF"/>
              <w:bottom w:val="single" w:sz="8" w:space="0" w:color="FFFFFF"/>
              <w:right w:val="single" w:sz="8" w:space="0" w:color="FFFFFF"/>
            </w:tcBorders>
            <w:shd w:val="clear" w:color="auto" w:fill="EFF3EA"/>
          </w:tcPr>
          <w:p w:rsidR="0030467B" w:rsidRPr="00392D42" w:rsidRDefault="0030467B" w:rsidP="0030467B">
            <w:pPr>
              <w:spacing w:after="0"/>
              <w:jc w:val="center"/>
              <w:rPr>
                <w:rFonts w:ascii="Arial" w:hAnsi="Arial" w:cs="Arial"/>
                <w:sz w:val="24"/>
                <w:szCs w:val="24"/>
              </w:rPr>
            </w:pPr>
            <w:r w:rsidRPr="00392D42">
              <w:rPr>
                <w:rFonts w:ascii="Arial" w:hAnsi="Arial" w:cs="Arial"/>
                <w:sz w:val="24"/>
                <w:szCs w:val="24"/>
              </w:rPr>
              <w:t>64</w:t>
            </w:r>
          </w:p>
          <w:p w:rsidR="0030467B" w:rsidRPr="00392D42" w:rsidRDefault="0030467B" w:rsidP="0030467B">
            <w:pPr>
              <w:spacing w:after="0"/>
              <w:jc w:val="center"/>
              <w:rPr>
                <w:rFonts w:ascii="Arial" w:hAnsi="Arial" w:cs="Arial"/>
                <w:sz w:val="24"/>
                <w:szCs w:val="24"/>
              </w:rPr>
            </w:pPr>
            <w:r w:rsidRPr="00392D42">
              <w:rPr>
                <w:rFonts w:ascii="Arial" w:hAnsi="Arial" w:cs="Arial"/>
                <w:sz w:val="24"/>
                <w:szCs w:val="24"/>
              </w:rPr>
              <w:t>(Awaiting activation)</w:t>
            </w:r>
          </w:p>
        </w:tc>
      </w:tr>
      <w:tr w:rsidR="0030467B" w:rsidRPr="00392D42" w:rsidTr="0030467B">
        <w:trPr>
          <w:trHeight w:val="1262"/>
        </w:trPr>
        <w:tc>
          <w:tcPr>
            <w:tcW w:w="1972" w:type="dxa"/>
            <w:tcBorders>
              <w:top w:val="single" w:sz="8" w:space="0" w:color="FFFFFF"/>
              <w:left w:val="single" w:sz="8" w:space="0" w:color="FFFFFF"/>
              <w:bottom w:val="single" w:sz="8" w:space="0" w:color="FFFFFF"/>
              <w:right w:val="single" w:sz="8" w:space="0" w:color="FFFFFF"/>
            </w:tcBorders>
            <w:shd w:val="clear" w:color="auto" w:fill="9BBB59"/>
            <w:tcMar>
              <w:top w:w="15" w:type="dxa"/>
              <w:left w:w="71" w:type="dxa"/>
              <w:bottom w:w="0" w:type="dxa"/>
              <w:right w:w="71" w:type="dxa"/>
            </w:tcMar>
            <w:hideMark/>
          </w:tcPr>
          <w:p w:rsidR="0030467B" w:rsidRPr="00392D42" w:rsidRDefault="0030467B" w:rsidP="00392D42">
            <w:pPr>
              <w:spacing w:after="0"/>
              <w:rPr>
                <w:rFonts w:ascii="Arial" w:hAnsi="Arial" w:cs="Arial"/>
                <w:sz w:val="24"/>
                <w:szCs w:val="24"/>
              </w:rPr>
            </w:pPr>
            <w:r w:rsidRPr="00392D42">
              <w:rPr>
                <w:rFonts w:ascii="Arial" w:hAnsi="Arial" w:cs="Arial"/>
                <w:b/>
                <w:bCs/>
                <w:sz w:val="24"/>
                <w:szCs w:val="24"/>
              </w:rPr>
              <w:t xml:space="preserve">CATCH: Evaluation of Lung Changes in Patients with confirmed Covid-19 or </w:t>
            </w:r>
            <w:r w:rsidRPr="00392D42">
              <w:rPr>
                <w:rFonts w:ascii="Arial" w:hAnsi="Arial" w:cs="Arial"/>
                <w:b/>
                <w:bCs/>
                <w:sz w:val="24"/>
                <w:szCs w:val="24"/>
              </w:rPr>
              <w:lastRenderedPageBreak/>
              <w:t>Covid-19 Symptoms on CBCT</w:t>
            </w:r>
          </w:p>
          <w:p w:rsidR="0030467B" w:rsidRPr="00392D42" w:rsidRDefault="0030467B" w:rsidP="00392D42">
            <w:pPr>
              <w:spacing w:after="0"/>
              <w:rPr>
                <w:rFonts w:ascii="Arial" w:hAnsi="Arial" w:cs="Arial"/>
                <w:sz w:val="24"/>
                <w:szCs w:val="24"/>
              </w:rPr>
            </w:pPr>
            <w:r w:rsidRPr="00392D42">
              <w:rPr>
                <w:rFonts w:ascii="Arial" w:hAnsi="Arial" w:cs="Arial"/>
                <w:b/>
                <w:bCs/>
                <w:sz w:val="24"/>
                <w:szCs w:val="24"/>
              </w:rPr>
              <w:t> </w:t>
            </w:r>
          </w:p>
        </w:tc>
        <w:tc>
          <w:tcPr>
            <w:tcW w:w="1501" w:type="dxa"/>
            <w:tcBorders>
              <w:top w:val="single" w:sz="8" w:space="0" w:color="FFFFFF"/>
              <w:left w:val="single" w:sz="8" w:space="0" w:color="FFFFFF"/>
              <w:bottom w:val="single" w:sz="8" w:space="0" w:color="FFFFFF"/>
              <w:right w:val="single" w:sz="8" w:space="0" w:color="FFFFFF"/>
            </w:tcBorders>
            <w:shd w:val="clear" w:color="auto" w:fill="DEE7D1"/>
            <w:tcMar>
              <w:top w:w="15" w:type="dxa"/>
              <w:left w:w="71" w:type="dxa"/>
              <w:bottom w:w="0" w:type="dxa"/>
              <w:right w:w="71" w:type="dxa"/>
            </w:tcMar>
            <w:hideMark/>
          </w:tcPr>
          <w:p w:rsidR="0030467B" w:rsidRPr="00392D42" w:rsidRDefault="0030467B" w:rsidP="0030467B">
            <w:pPr>
              <w:spacing w:after="0"/>
              <w:jc w:val="both"/>
              <w:rPr>
                <w:rFonts w:ascii="Arial" w:hAnsi="Arial" w:cs="Arial"/>
                <w:sz w:val="24"/>
                <w:szCs w:val="24"/>
              </w:rPr>
            </w:pPr>
            <w:r w:rsidRPr="00392D42">
              <w:rPr>
                <w:rFonts w:ascii="Arial" w:hAnsi="Arial" w:cs="Arial"/>
                <w:sz w:val="24"/>
                <w:szCs w:val="24"/>
              </w:rPr>
              <w:lastRenderedPageBreak/>
              <w:t>Observational</w:t>
            </w:r>
          </w:p>
        </w:tc>
        <w:tc>
          <w:tcPr>
            <w:tcW w:w="3799" w:type="dxa"/>
            <w:tcBorders>
              <w:top w:val="single" w:sz="8" w:space="0" w:color="FFFFFF"/>
              <w:left w:val="single" w:sz="8" w:space="0" w:color="FFFFFF"/>
              <w:bottom w:val="single" w:sz="8" w:space="0" w:color="FFFFFF"/>
              <w:right w:val="single" w:sz="8" w:space="0" w:color="FFFFFF"/>
            </w:tcBorders>
            <w:shd w:val="clear" w:color="auto" w:fill="DEE7D1"/>
            <w:tcMar>
              <w:top w:w="15" w:type="dxa"/>
              <w:left w:w="71" w:type="dxa"/>
              <w:bottom w:w="0" w:type="dxa"/>
              <w:right w:w="71" w:type="dxa"/>
            </w:tcMar>
            <w:hideMark/>
          </w:tcPr>
          <w:p w:rsidR="0030467B" w:rsidRPr="00392D42" w:rsidRDefault="0030467B" w:rsidP="0030467B">
            <w:pPr>
              <w:spacing w:after="0"/>
              <w:jc w:val="both"/>
              <w:rPr>
                <w:rFonts w:ascii="Arial" w:hAnsi="Arial" w:cs="Arial"/>
                <w:sz w:val="24"/>
                <w:szCs w:val="24"/>
              </w:rPr>
            </w:pPr>
            <w:r w:rsidRPr="00392D42">
              <w:rPr>
                <w:rFonts w:ascii="Arial" w:hAnsi="Arial" w:cs="Arial"/>
                <w:sz w:val="24"/>
                <w:szCs w:val="24"/>
              </w:rPr>
              <w:t xml:space="preserve">To determine the association of reported symptoms and notations regarding confirmed COVID-19 in patient notes with observed changes in lung anatomy on </w:t>
            </w:r>
            <w:r w:rsidRPr="00392D42">
              <w:rPr>
                <w:rFonts w:ascii="Arial" w:hAnsi="Arial" w:cs="Arial"/>
                <w:sz w:val="24"/>
                <w:szCs w:val="24"/>
              </w:rPr>
              <w:lastRenderedPageBreak/>
              <w:t>radiotherapy  CBCT or kV portal imaging collected on the RRR theragnostics system for patients undergoing thoracic radiotherapy.</w:t>
            </w:r>
          </w:p>
        </w:tc>
        <w:tc>
          <w:tcPr>
            <w:tcW w:w="1039" w:type="dxa"/>
            <w:tcBorders>
              <w:top w:val="single" w:sz="8" w:space="0" w:color="FFFFFF"/>
              <w:left w:val="single" w:sz="8" w:space="0" w:color="FFFFFF"/>
              <w:bottom w:val="single" w:sz="8" w:space="0" w:color="FFFFFF"/>
              <w:right w:val="single" w:sz="8" w:space="0" w:color="FFFFFF"/>
            </w:tcBorders>
            <w:shd w:val="clear" w:color="auto" w:fill="DEE7D1"/>
            <w:tcMar>
              <w:top w:w="15" w:type="dxa"/>
              <w:left w:w="71" w:type="dxa"/>
              <w:bottom w:w="0" w:type="dxa"/>
              <w:right w:w="71" w:type="dxa"/>
            </w:tcMar>
            <w:hideMark/>
          </w:tcPr>
          <w:p w:rsidR="0030467B" w:rsidRPr="00392D42" w:rsidRDefault="0030467B" w:rsidP="0030467B">
            <w:pPr>
              <w:spacing w:after="0"/>
              <w:jc w:val="both"/>
              <w:rPr>
                <w:rFonts w:ascii="Arial" w:hAnsi="Arial" w:cs="Arial"/>
                <w:sz w:val="24"/>
                <w:szCs w:val="24"/>
              </w:rPr>
            </w:pPr>
            <w:r w:rsidRPr="00392D42">
              <w:rPr>
                <w:rFonts w:ascii="Arial" w:hAnsi="Arial" w:cs="Arial"/>
                <w:sz w:val="24"/>
                <w:szCs w:val="24"/>
              </w:rPr>
              <w:lastRenderedPageBreak/>
              <w:t>TBC</w:t>
            </w:r>
          </w:p>
        </w:tc>
        <w:tc>
          <w:tcPr>
            <w:tcW w:w="857" w:type="dxa"/>
            <w:tcBorders>
              <w:top w:val="single" w:sz="8" w:space="0" w:color="FFFFFF"/>
              <w:left w:val="single" w:sz="8" w:space="0" w:color="FFFFFF"/>
              <w:bottom w:val="single" w:sz="8" w:space="0" w:color="FFFFFF"/>
              <w:right w:val="single" w:sz="8" w:space="0" w:color="FFFFFF"/>
            </w:tcBorders>
            <w:shd w:val="clear" w:color="auto" w:fill="DEE7D1"/>
          </w:tcPr>
          <w:p w:rsidR="0030467B" w:rsidRPr="00392D42" w:rsidRDefault="0030467B" w:rsidP="0030467B">
            <w:pPr>
              <w:spacing w:after="0"/>
              <w:jc w:val="center"/>
              <w:rPr>
                <w:rFonts w:ascii="Arial" w:hAnsi="Arial" w:cs="Arial"/>
                <w:sz w:val="24"/>
                <w:szCs w:val="24"/>
              </w:rPr>
            </w:pPr>
            <w:r w:rsidRPr="00392D42">
              <w:rPr>
                <w:rFonts w:ascii="Arial" w:hAnsi="Arial" w:cs="Arial"/>
                <w:sz w:val="24"/>
                <w:szCs w:val="24"/>
              </w:rPr>
              <w:t xml:space="preserve">1 </w:t>
            </w:r>
          </w:p>
          <w:p w:rsidR="0030467B" w:rsidRPr="00392D42" w:rsidRDefault="0030467B" w:rsidP="0030467B">
            <w:pPr>
              <w:spacing w:after="0"/>
              <w:jc w:val="center"/>
              <w:rPr>
                <w:rFonts w:ascii="Arial" w:hAnsi="Arial" w:cs="Arial"/>
                <w:sz w:val="24"/>
                <w:szCs w:val="24"/>
              </w:rPr>
            </w:pPr>
            <w:r w:rsidRPr="00392D42">
              <w:rPr>
                <w:rFonts w:ascii="Arial" w:hAnsi="Arial" w:cs="Arial"/>
                <w:sz w:val="24"/>
                <w:szCs w:val="24"/>
              </w:rPr>
              <w:t>(Awaiting activation)</w:t>
            </w:r>
          </w:p>
        </w:tc>
      </w:tr>
      <w:tr w:rsidR="0030467B" w:rsidRPr="00392D42" w:rsidTr="0030467B">
        <w:trPr>
          <w:trHeight w:val="964"/>
        </w:trPr>
        <w:tc>
          <w:tcPr>
            <w:tcW w:w="1972" w:type="dxa"/>
            <w:tcBorders>
              <w:top w:val="single" w:sz="8" w:space="0" w:color="FFFFFF"/>
              <w:left w:val="single" w:sz="8" w:space="0" w:color="FFFFFF"/>
              <w:bottom w:val="single" w:sz="8" w:space="0" w:color="FFFFFF"/>
              <w:right w:val="single" w:sz="8" w:space="0" w:color="FFFFFF"/>
            </w:tcBorders>
            <w:shd w:val="clear" w:color="auto" w:fill="9BBB59"/>
            <w:tcMar>
              <w:top w:w="15" w:type="dxa"/>
              <w:left w:w="71" w:type="dxa"/>
              <w:bottom w:w="0" w:type="dxa"/>
              <w:right w:w="71" w:type="dxa"/>
            </w:tcMar>
            <w:hideMark/>
          </w:tcPr>
          <w:p w:rsidR="0030467B" w:rsidRPr="00392D42" w:rsidRDefault="0030467B" w:rsidP="0030467B">
            <w:pPr>
              <w:spacing w:after="0"/>
              <w:jc w:val="both"/>
              <w:rPr>
                <w:rFonts w:ascii="Arial" w:hAnsi="Arial" w:cs="Arial"/>
                <w:sz w:val="24"/>
                <w:szCs w:val="24"/>
              </w:rPr>
            </w:pPr>
            <w:r w:rsidRPr="00392D42">
              <w:rPr>
                <w:rFonts w:ascii="Arial" w:hAnsi="Arial" w:cs="Arial"/>
                <w:b/>
                <w:bCs/>
                <w:sz w:val="24"/>
                <w:szCs w:val="24"/>
              </w:rPr>
              <w:lastRenderedPageBreak/>
              <w:t>IMPACT</w:t>
            </w:r>
          </w:p>
        </w:tc>
        <w:tc>
          <w:tcPr>
            <w:tcW w:w="1501" w:type="dxa"/>
            <w:tcBorders>
              <w:top w:val="single" w:sz="8" w:space="0" w:color="FFFFFF"/>
              <w:left w:val="single" w:sz="8" w:space="0" w:color="FFFFFF"/>
              <w:bottom w:val="single" w:sz="8" w:space="0" w:color="FFFFFF"/>
              <w:right w:val="single" w:sz="8" w:space="0" w:color="FFFFFF"/>
            </w:tcBorders>
            <w:shd w:val="clear" w:color="auto" w:fill="EFF3EA"/>
            <w:tcMar>
              <w:top w:w="15" w:type="dxa"/>
              <w:left w:w="71" w:type="dxa"/>
              <w:bottom w:w="0" w:type="dxa"/>
              <w:right w:w="71" w:type="dxa"/>
            </w:tcMar>
            <w:hideMark/>
          </w:tcPr>
          <w:p w:rsidR="0030467B" w:rsidRPr="00392D42" w:rsidRDefault="0030467B" w:rsidP="0030467B">
            <w:pPr>
              <w:spacing w:after="0"/>
              <w:jc w:val="both"/>
              <w:rPr>
                <w:rFonts w:ascii="Arial" w:hAnsi="Arial" w:cs="Arial"/>
                <w:sz w:val="24"/>
                <w:szCs w:val="24"/>
              </w:rPr>
            </w:pPr>
            <w:r w:rsidRPr="00392D42">
              <w:rPr>
                <w:rFonts w:ascii="Arial" w:hAnsi="Arial" w:cs="Arial"/>
                <w:sz w:val="24"/>
                <w:szCs w:val="24"/>
              </w:rPr>
              <w:t>Observational/ prospective</w:t>
            </w:r>
          </w:p>
        </w:tc>
        <w:tc>
          <w:tcPr>
            <w:tcW w:w="3799" w:type="dxa"/>
            <w:tcBorders>
              <w:top w:val="single" w:sz="8" w:space="0" w:color="FFFFFF"/>
              <w:left w:val="single" w:sz="8" w:space="0" w:color="FFFFFF"/>
              <w:bottom w:val="single" w:sz="8" w:space="0" w:color="FFFFFF"/>
              <w:right w:val="single" w:sz="8" w:space="0" w:color="FFFFFF"/>
            </w:tcBorders>
            <w:shd w:val="clear" w:color="auto" w:fill="EFF3EA"/>
            <w:tcMar>
              <w:top w:w="15" w:type="dxa"/>
              <w:left w:w="71" w:type="dxa"/>
              <w:bottom w:w="0" w:type="dxa"/>
              <w:right w:w="71" w:type="dxa"/>
            </w:tcMar>
            <w:hideMark/>
          </w:tcPr>
          <w:p w:rsidR="0030467B" w:rsidRPr="00392D42" w:rsidRDefault="0030467B" w:rsidP="0030467B">
            <w:pPr>
              <w:spacing w:after="0"/>
              <w:jc w:val="both"/>
              <w:rPr>
                <w:rFonts w:ascii="Arial" w:hAnsi="Arial" w:cs="Arial"/>
                <w:sz w:val="24"/>
                <w:szCs w:val="24"/>
              </w:rPr>
            </w:pPr>
            <w:r w:rsidRPr="00392D42">
              <w:rPr>
                <w:rFonts w:ascii="Arial" w:hAnsi="Arial" w:cs="Arial"/>
                <w:sz w:val="24"/>
                <w:szCs w:val="24"/>
              </w:rPr>
              <w:t>A prospective non interventional study to evaluate the role of immune and inflammatory response in recipients of allogeneic haematopoietic stem cell transplantation (SCT) affected by severe COVID19.</w:t>
            </w:r>
          </w:p>
        </w:tc>
        <w:tc>
          <w:tcPr>
            <w:tcW w:w="1039" w:type="dxa"/>
            <w:tcBorders>
              <w:top w:val="single" w:sz="8" w:space="0" w:color="FFFFFF"/>
              <w:left w:val="single" w:sz="8" w:space="0" w:color="FFFFFF"/>
              <w:bottom w:val="single" w:sz="8" w:space="0" w:color="FFFFFF"/>
              <w:right w:val="single" w:sz="8" w:space="0" w:color="FFFFFF"/>
            </w:tcBorders>
            <w:shd w:val="clear" w:color="auto" w:fill="EFF3EA"/>
            <w:tcMar>
              <w:top w:w="15" w:type="dxa"/>
              <w:left w:w="71" w:type="dxa"/>
              <w:bottom w:w="0" w:type="dxa"/>
              <w:right w:w="71" w:type="dxa"/>
            </w:tcMar>
            <w:hideMark/>
          </w:tcPr>
          <w:p w:rsidR="0030467B" w:rsidRPr="00392D42" w:rsidRDefault="0030467B" w:rsidP="0030467B">
            <w:pPr>
              <w:spacing w:after="0"/>
              <w:jc w:val="both"/>
              <w:rPr>
                <w:rFonts w:ascii="Arial" w:hAnsi="Arial" w:cs="Arial"/>
                <w:sz w:val="24"/>
                <w:szCs w:val="24"/>
              </w:rPr>
            </w:pPr>
            <w:r w:rsidRPr="00392D42">
              <w:rPr>
                <w:rFonts w:ascii="Arial" w:hAnsi="Arial" w:cs="Arial"/>
                <w:sz w:val="24"/>
                <w:szCs w:val="24"/>
              </w:rPr>
              <w:t>Dr Toth</w:t>
            </w:r>
          </w:p>
        </w:tc>
        <w:tc>
          <w:tcPr>
            <w:tcW w:w="857" w:type="dxa"/>
            <w:tcBorders>
              <w:top w:val="single" w:sz="8" w:space="0" w:color="FFFFFF"/>
              <w:left w:val="single" w:sz="8" w:space="0" w:color="FFFFFF"/>
              <w:bottom w:val="single" w:sz="8" w:space="0" w:color="FFFFFF"/>
              <w:right w:val="single" w:sz="8" w:space="0" w:color="FFFFFF"/>
            </w:tcBorders>
            <w:shd w:val="clear" w:color="auto" w:fill="EFF3EA"/>
          </w:tcPr>
          <w:p w:rsidR="0030467B" w:rsidRPr="00392D42" w:rsidRDefault="0030467B" w:rsidP="0030467B">
            <w:pPr>
              <w:spacing w:after="0"/>
              <w:jc w:val="both"/>
              <w:rPr>
                <w:rFonts w:ascii="Arial" w:hAnsi="Arial" w:cs="Arial"/>
                <w:sz w:val="24"/>
                <w:szCs w:val="24"/>
              </w:rPr>
            </w:pPr>
          </w:p>
        </w:tc>
      </w:tr>
    </w:tbl>
    <w:p w:rsidR="0030467B" w:rsidRPr="00392D42" w:rsidRDefault="0030467B" w:rsidP="0030467B">
      <w:pPr>
        <w:spacing w:after="0"/>
        <w:jc w:val="both"/>
        <w:rPr>
          <w:rFonts w:ascii="Arial" w:hAnsi="Arial" w:cs="Arial"/>
          <w:sz w:val="24"/>
          <w:szCs w:val="24"/>
        </w:rPr>
      </w:pPr>
    </w:p>
    <w:p w:rsidR="0030467B" w:rsidRPr="00392D42" w:rsidRDefault="0030467B" w:rsidP="0030467B">
      <w:pPr>
        <w:jc w:val="both"/>
        <w:rPr>
          <w:rFonts w:ascii="Arial" w:hAnsi="Arial" w:cs="Arial"/>
          <w:sz w:val="24"/>
          <w:szCs w:val="24"/>
        </w:rPr>
      </w:pPr>
      <w:r w:rsidRPr="00392D42">
        <w:rPr>
          <w:rFonts w:ascii="Arial" w:hAnsi="Arial" w:cs="Arial"/>
          <w:sz w:val="24"/>
          <w:szCs w:val="24"/>
        </w:rPr>
        <w:t>There is one study closed to recruitment</w:t>
      </w:r>
      <w:r w:rsidR="00392D42">
        <w:rPr>
          <w:rFonts w:ascii="Arial" w:hAnsi="Arial" w:cs="Arial"/>
          <w:sz w:val="24"/>
          <w:szCs w:val="24"/>
        </w:rPr>
        <w:t>:</w:t>
      </w:r>
    </w:p>
    <w:tbl>
      <w:tblPr>
        <w:tblW w:w="9172" w:type="dxa"/>
        <w:tblCellMar>
          <w:left w:w="0" w:type="dxa"/>
          <w:right w:w="0" w:type="dxa"/>
        </w:tblCellMar>
        <w:tblLook w:val="04A0" w:firstRow="1" w:lastRow="0" w:firstColumn="1" w:lastColumn="0" w:noHBand="0" w:noVBand="1"/>
      </w:tblPr>
      <w:tblGrid>
        <w:gridCol w:w="1231"/>
        <w:gridCol w:w="1681"/>
        <w:gridCol w:w="3098"/>
        <w:gridCol w:w="1561"/>
        <w:gridCol w:w="1601"/>
      </w:tblGrid>
      <w:tr w:rsidR="0030467B" w:rsidRPr="00392D42" w:rsidTr="0030467B">
        <w:trPr>
          <w:trHeight w:val="283"/>
        </w:trPr>
        <w:tc>
          <w:tcPr>
            <w:tcW w:w="1300" w:type="dxa"/>
            <w:tcBorders>
              <w:top w:val="single" w:sz="8" w:space="0" w:color="FFFFFF"/>
              <w:left w:val="single" w:sz="8" w:space="0" w:color="FFFFFF"/>
              <w:bottom w:val="single" w:sz="8" w:space="0" w:color="FFFFFF"/>
              <w:right w:val="single" w:sz="8" w:space="0" w:color="FFFFFF"/>
            </w:tcBorders>
            <w:shd w:val="clear" w:color="auto" w:fill="9BBB59"/>
            <w:tcMar>
              <w:top w:w="15" w:type="dxa"/>
              <w:left w:w="100" w:type="dxa"/>
              <w:bottom w:w="0" w:type="dxa"/>
              <w:right w:w="100" w:type="dxa"/>
            </w:tcMar>
          </w:tcPr>
          <w:p w:rsidR="0030467B" w:rsidRPr="00392D42" w:rsidRDefault="0030467B" w:rsidP="0030467B">
            <w:pPr>
              <w:spacing w:after="0"/>
              <w:jc w:val="center"/>
              <w:rPr>
                <w:rFonts w:ascii="Arial" w:hAnsi="Arial" w:cs="Arial"/>
                <w:sz w:val="24"/>
                <w:szCs w:val="24"/>
              </w:rPr>
            </w:pPr>
            <w:r w:rsidRPr="00392D42">
              <w:rPr>
                <w:rFonts w:ascii="Arial" w:hAnsi="Arial" w:cs="Arial"/>
                <w:b/>
                <w:bCs/>
                <w:sz w:val="24"/>
                <w:szCs w:val="24"/>
              </w:rPr>
              <w:t>Short Title</w:t>
            </w:r>
          </w:p>
        </w:tc>
        <w:tc>
          <w:tcPr>
            <w:tcW w:w="1450" w:type="dxa"/>
            <w:tcBorders>
              <w:top w:val="single" w:sz="8" w:space="0" w:color="FFFFFF"/>
              <w:left w:val="single" w:sz="8" w:space="0" w:color="FFFFFF"/>
              <w:bottom w:val="single" w:sz="8" w:space="0" w:color="FFFFFF"/>
              <w:right w:val="single" w:sz="8" w:space="0" w:color="FFFFFF"/>
            </w:tcBorders>
            <w:shd w:val="clear" w:color="auto" w:fill="DEE7D1"/>
            <w:tcMar>
              <w:top w:w="15" w:type="dxa"/>
              <w:left w:w="100" w:type="dxa"/>
              <w:bottom w:w="0" w:type="dxa"/>
              <w:right w:w="100" w:type="dxa"/>
            </w:tcMar>
          </w:tcPr>
          <w:p w:rsidR="0030467B" w:rsidRPr="00392D42" w:rsidRDefault="0030467B" w:rsidP="0030467B">
            <w:pPr>
              <w:spacing w:after="0"/>
              <w:jc w:val="center"/>
              <w:rPr>
                <w:rFonts w:ascii="Arial" w:hAnsi="Arial" w:cs="Arial"/>
                <w:sz w:val="24"/>
                <w:szCs w:val="24"/>
              </w:rPr>
            </w:pPr>
            <w:r w:rsidRPr="00392D42">
              <w:rPr>
                <w:rFonts w:ascii="Arial" w:hAnsi="Arial" w:cs="Arial"/>
                <w:b/>
                <w:bCs/>
                <w:sz w:val="24"/>
                <w:szCs w:val="24"/>
              </w:rPr>
              <w:t>Type</w:t>
            </w:r>
          </w:p>
        </w:tc>
        <w:tc>
          <w:tcPr>
            <w:tcW w:w="3587" w:type="dxa"/>
            <w:tcBorders>
              <w:top w:val="single" w:sz="8" w:space="0" w:color="FFFFFF"/>
              <w:left w:val="single" w:sz="8" w:space="0" w:color="FFFFFF"/>
              <w:bottom w:val="single" w:sz="8" w:space="0" w:color="FFFFFF"/>
              <w:right w:val="single" w:sz="8" w:space="0" w:color="FFFFFF"/>
            </w:tcBorders>
            <w:shd w:val="clear" w:color="auto" w:fill="DEE7D1"/>
            <w:tcMar>
              <w:top w:w="15" w:type="dxa"/>
              <w:left w:w="100" w:type="dxa"/>
              <w:bottom w:w="0" w:type="dxa"/>
              <w:right w:w="100" w:type="dxa"/>
            </w:tcMar>
          </w:tcPr>
          <w:p w:rsidR="0030467B" w:rsidRPr="00392D42" w:rsidRDefault="0030467B" w:rsidP="0030467B">
            <w:pPr>
              <w:spacing w:after="0"/>
              <w:jc w:val="center"/>
              <w:rPr>
                <w:rFonts w:ascii="Arial" w:hAnsi="Arial" w:cs="Arial"/>
                <w:sz w:val="24"/>
                <w:szCs w:val="24"/>
              </w:rPr>
            </w:pPr>
            <w:r w:rsidRPr="00392D42">
              <w:rPr>
                <w:rFonts w:ascii="Arial" w:hAnsi="Arial" w:cs="Arial"/>
                <w:b/>
                <w:bCs/>
                <w:sz w:val="24"/>
                <w:szCs w:val="24"/>
              </w:rPr>
              <w:t>Short Summary</w:t>
            </w:r>
          </w:p>
        </w:tc>
        <w:tc>
          <w:tcPr>
            <w:tcW w:w="1276" w:type="dxa"/>
            <w:tcBorders>
              <w:top w:val="single" w:sz="8" w:space="0" w:color="FFFFFF"/>
              <w:left w:val="single" w:sz="8" w:space="0" w:color="FFFFFF"/>
              <w:bottom w:val="single" w:sz="8" w:space="0" w:color="FFFFFF"/>
              <w:right w:val="single" w:sz="8" w:space="0" w:color="FFFFFF"/>
            </w:tcBorders>
            <w:shd w:val="clear" w:color="auto" w:fill="DEE7D1"/>
            <w:tcMar>
              <w:top w:w="15" w:type="dxa"/>
              <w:left w:w="100" w:type="dxa"/>
              <w:bottom w:w="0" w:type="dxa"/>
              <w:right w:w="100" w:type="dxa"/>
            </w:tcMar>
          </w:tcPr>
          <w:p w:rsidR="0030467B" w:rsidRPr="00392D42" w:rsidRDefault="0030467B" w:rsidP="0030467B">
            <w:pPr>
              <w:spacing w:after="0"/>
              <w:jc w:val="center"/>
              <w:rPr>
                <w:rFonts w:ascii="Arial" w:hAnsi="Arial" w:cs="Arial"/>
                <w:sz w:val="24"/>
                <w:szCs w:val="24"/>
              </w:rPr>
            </w:pPr>
            <w:r w:rsidRPr="00392D42">
              <w:rPr>
                <w:rFonts w:ascii="Arial" w:hAnsi="Arial" w:cs="Arial"/>
                <w:b/>
                <w:bCs/>
                <w:sz w:val="24"/>
                <w:szCs w:val="24"/>
              </w:rPr>
              <w:t>Principal Investigator</w:t>
            </w:r>
          </w:p>
        </w:tc>
        <w:tc>
          <w:tcPr>
            <w:tcW w:w="1559" w:type="dxa"/>
            <w:tcBorders>
              <w:top w:val="single" w:sz="8" w:space="0" w:color="FFFFFF"/>
              <w:left w:val="single" w:sz="8" w:space="0" w:color="FFFFFF"/>
              <w:bottom w:val="single" w:sz="8" w:space="0" w:color="FFFFFF"/>
              <w:right w:val="single" w:sz="8" w:space="0" w:color="FFFFFF"/>
            </w:tcBorders>
            <w:shd w:val="clear" w:color="auto" w:fill="DEE7D1"/>
            <w:tcMar>
              <w:top w:w="15" w:type="dxa"/>
              <w:left w:w="100" w:type="dxa"/>
              <w:bottom w:w="0" w:type="dxa"/>
              <w:right w:w="100" w:type="dxa"/>
            </w:tcMar>
          </w:tcPr>
          <w:p w:rsidR="0030467B" w:rsidRPr="00392D42" w:rsidRDefault="0030467B" w:rsidP="0030467B">
            <w:pPr>
              <w:spacing w:after="0"/>
              <w:jc w:val="center"/>
              <w:rPr>
                <w:rFonts w:ascii="Arial" w:hAnsi="Arial" w:cs="Arial"/>
                <w:b/>
                <w:bCs/>
                <w:sz w:val="24"/>
                <w:szCs w:val="24"/>
              </w:rPr>
            </w:pPr>
            <w:r w:rsidRPr="00392D42">
              <w:rPr>
                <w:rFonts w:ascii="Arial" w:hAnsi="Arial" w:cs="Arial"/>
                <w:b/>
                <w:bCs/>
                <w:sz w:val="24"/>
                <w:szCs w:val="24"/>
              </w:rPr>
              <w:t>Recruitment</w:t>
            </w:r>
          </w:p>
        </w:tc>
      </w:tr>
      <w:tr w:rsidR="0030467B" w:rsidRPr="00392D42" w:rsidTr="0030467B">
        <w:trPr>
          <w:trHeight w:val="1020"/>
        </w:trPr>
        <w:tc>
          <w:tcPr>
            <w:tcW w:w="1300" w:type="dxa"/>
            <w:tcBorders>
              <w:top w:val="single" w:sz="8" w:space="0" w:color="FFFFFF"/>
              <w:left w:val="single" w:sz="8" w:space="0" w:color="FFFFFF"/>
              <w:bottom w:val="single" w:sz="8" w:space="0" w:color="FFFFFF"/>
              <w:right w:val="single" w:sz="8" w:space="0" w:color="FFFFFF"/>
            </w:tcBorders>
            <w:shd w:val="clear" w:color="auto" w:fill="9BBB59"/>
            <w:tcMar>
              <w:top w:w="15" w:type="dxa"/>
              <w:left w:w="100" w:type="dxa"/>
              <w:bottom w:w="0" w:type="dxa"/>
              <w:right w:w="100" w:type="dxa"/>
            </w:tcMar>
            <w:hideMark/>
          </w:tcPr>
          <w:p w:rsidR="0030467B" w:rsidRPr="00392D42" w:rsidRDefault="0030467B" w:rsidP="0030467B">
            <w:pPr>
              <w:spacing w:after="0"/>
              <w:jc w:val="both"/>
              <w:rPr>
                <w:rFonts w:ascii="Arial" w:hAnsi="Arial" w:cs="Arial"/>
                <w:sz w:val="24"/>
                <w:szCs w:val="24"/>
              </w:rPr>
            </w:pPr>
            <w:r w:rsidRPr="00392D42">
              <w:rPr>
                <w:rFonts w:ascii="Arial" w:hAnsi="Arial" w:cs="Arial"/>
                <w:b/>
                <w:bCs/>
                <w:sz w:val="24"/>
                <w:szCs w:val="24"/>
              </w:rPr>
              <w:t>SAFER</w:t>
            </w:r>
          </w:p>
        </w:tc>
        <w:tc>
          <w:tcPr>
            <w:tcW w:w="1450" w:type="dxa"/>
            <w:tcBorders>
              <w:top w:val="single" w:sz="8" w:space="0" w:color="FFFFFF"/>
              <w:left w:val="single" w:sz="8" w:space="0" w:color="FFFFFF"/>
              <w:bottom w:val="single" w:sz="8" w:space="0" w:color="FFFFFF"/>
              <w:right w:val="single" w:sz="8" w:space="0" w:color="FFFFFF"/>
            </w:tcBorders>
            <w:shd w:val="clear" w:color="auto" w:fill="DEE7D1"/>
            <w:tcMar>
              <w:top w:w="15" w:type="dxa"/>
              <w:left w:w="100" w:type="dxa"/>
              <w:bottom w:w="0" w:type="dxa"/>
              <w:right w:w="100" w:type="dxa"/>
            </w:tcMar>
            <w:hideMark/>
          </w:tcPr>
          <w:p w:rsidR="0030467B" w:rsidRPr="00392D42" w:rsidRDefault="0030467B" w:rsidP="0030467B">
            <w:pPr>
              <w:spacing w:after="0"/>
              <w:jc w:val="center"/>
              <w:rPr>
                <w:rFonts w:ascii="Arial" w:hAnsi="Arial" w:cs="Arial"/>
                <w:sz w:val="24"/>
                <w:szCs w:val="24"/>
              </w:rPr>
            </w:pPr>
            <w:r w:rsidRPr="00392D42">
              <w:rPr>
                <w:rFonts w:ascii="Arial" w:hAnsi="Arial" w:cs="Arial"/>
                <w:sz w:val="24"/>
                <w:szCs w:val="24"/>
              </w:rPr>
              <w:t>Observational</w:t>
            </w:r>
          </w:p>
          <w:p w:rsidR="0030467B" w:rsidRPr="00392D42" w:rsidRDefault="0030467B" w:rsidP="0030467B">
            <w:pPr>
              <w:spacing w:after="0"/>
              <w:jc w:val="center"/>
              <w:rPr>
                <w:rFonts w:ascii="Arial" w:hAnsi="Arial" w:cs="Arial"/>
                <w:sz w:val="24"/>
                <w:szCs w:val="24"/>
              </w:rPr>
            </w:pPr>
            <w:r w:rsidRPr="00392D42">
              <w:rPr>
                <w:rFonts w:ascii="Arial" w:hAnsi="Arial" w:cs="Arial"/>
                <w:sz w:val="24"/>
                <w:szCs w:val="24"/>
              </w:rPr>
              <w:t>Non-Commercial portfolio</w:t>
            </w:r>
          </w:p>
        </w:tc>
        <w:tc>
          <w:tcPr>
            <w:tcW w:w="3587" w:type="dxa"/>
            <w:tcBorders>
              <w:top w:val="single" w:sz="8" w:space="0" w:color="FFFFFF"/>
              <w:left w:val="single" w:sz="8" w:space="0" w:color="FFFFFF"/>
              <w:bottom w:val="single" w:sz="8" w:space="0" w:color="FFFFFF"/>
              <w:right w:val="single" w:sz="8" w:space="0" w:color="FFFFFF"/>
            </w:tcBorders>
            <w:shd w:val="clear" w:color="auto" w:fill="DEE7D1"/>
            <w:tcMar>
              <w:top w:w="15" w:type="dxa"/>
              <w:left w:w="100" w:type="dxa"/>
              <w:bottom w:w="0" w:type="dxa"/>
              <w:right w:w="100" w:type="dxa"/>
            </w:tcMar>
            <w:hideMark/>
          </w:tcPr>
          <w:p w:rsidR="0030467B" w:rsidRPr="00392D42" w:rsidRDefault="0030467B" w:rsidP="0030467B">
            <w:pPr>
              <w:spacing w:after="0"/>
              <w:rPr>
                <w:rFonts w:ascii="Arial" w:hAnsi="Arial" w:cs="Arial"/>
                <w:sz w:val="24"/>
                <w:szCs w:val="24"/>
              </w:rPr>
            </w:pPr>
            <w:r w:rsidRPr="00392D42">
              <w:rPr>
                <w:rFonts w:ascii="Arial" w:hAnsi="Arial" w:cs="Arial"/>
                <w:sz w:val="24"/>
                <w:szCs w:val="24"/>
              </w:rPr>
              <w:t>This study will examine rates of SARS-CoV-2 acquisition in HCWs in five clinical areas (AMU, Infectious disease or cohort ward, haematology and ICU) and A/E in UCLH and Royal Liverpool Hospital (RLH).</w:t>
            </w:r>
          </w:p>
        </w:tc>
        <w:tc>
          <w:tcPr>
            <w:tcW w:w="1276" w:type="dxa"/>
            <w:tcBorders>
              <w:top w:val="single" w:sz="8" w:space="0" w:color="FFFFFF"/>
              <w:left w:val="single" w:sz="8" w:space="0" w:color="FFFFFF"/>
              <w:bottom w:val="single" w:sz="8" w:space="0" w:color="FFFFFF"/>
              <w:right w:val="single" w:sz="8" w:space="0" w:color="FFFFFF"/>
            </w:tcBorders>
            <w:shd w:val="clear" w:color="auto" w:fill="DEE7D1"/>
            <w:tcMar>
              <w:top w:w="15" w:type="dxa"/>
              <w:left w:w="100" w:type="dxa"/>
              <w:bottom w:w="0" w:type="dxa"/>
              <w:right w:w="100" w:type="dxa"/>
            </w:tcMar>
            <w:hideMark/>
          </w:tcPr>
          <w:p w:rsidR="0030467B" w:rsidRPr="00392D42" w:rsidRDefault="0030467B" w:rsidP="0030467B">
            <w:pPr>
              <w:spacing w:after="0"/>
              <w:jc w:val="center"/>
              <w:rPr>
                <w:rFonts w:ascii="Arial" w:hAnsi="Arial" w:cs="Arial"/>
                <w:sz w:val="24"/>
                <w:szCs w:val="24"/>
              </w:rPr>
            </w:pPr>
            <w:r w:rsidRPr="00392D42">
              <w:rPr>
                <w:rFonts w:ascii="Arial" w:hAnsi="Arial" w:cs="Arial"/>
                <w:sz w:val="24"/>
                <w:szCs w:val="24"/>
              </w:rPr>
              <w:t xml:space="preserve">N/A </w:t>
            </w:r>
          </w:p>
          <w:p w:rsidR="0030467B" w:rsidRPr="00392D42" w:rsidRDefault="0030467B" w:rsidP="0030467B">
            <w:pPr>
              <w:spacing w:after="0"/>
              <w:jc w:val="center"/>
              <w:rPr>
                <w:rFonts w:ascii="Arial" w:hAnsi="Arial" w:cs="Arial"/>
                <w:sz w:val="24"/>
                <w:szCs w:val="24"/>
              </w:rPr>
            </w:pPr>
            <w:r w:rsidRPr="00392D42">
              <w:rPr>
                <w:rFonts w:ascii="Arial" w:hAnsi="Arial" w:cs="Arial"/>
                <w:sz w:val="24"/>
                <w:szCs w:val="24"/>
              </w:rPr>
              <w:t>PIC Site</w:t>
            </w:r>
          </w:p>
        </w:tc>
        <w:tc>
          <w:tcPr>
            <w:tcW w:w="1559" w:type="dxa"/>
            <w:tcBorders>
              <w:top w:val="single" w:sz="8" w:space="0" w:color="FFFFFF"/>
              <w:left w:val="single" w:sz="8" w:space="0" w:color="FFFFFF"/>
              <w:bottom w:val="single" w:sz="8" w:space="0" w:color="FFFFFF"/>
              <w:right w:val="single" w:sz="8" w:space="0" w:color="FFFFFF"/>
            </w:tcBorders>
            <w:shd w:val="clear" w:color="auto" w:fill="DEE7D1"/>
            <w:tcMar>
              <w:top w:w="15" w:type="dxa"/>
              <w:left w:w="100" w:type="dxa"/>
              <w:bottom w:w="0" w:type="dxa"/>
              <w:right w:w="100" w:type="dxa"/>
            </w:tcMar>
            <w:hideMark/>
          </w:tcPr>
          <w:p w:rsidR="0030467B" w:rsidRPr="00392D42" w:rsidRDefault="0030467B" w:rsidP="0030467B">
            <w:pPr>
              <w:spacing w:after="0"/>
              <w:jc w:val="center"/>
              <w:rPr>
                <w:rFonts w:ascii="Arial" w:hAnsi="Arial" w:cs="Arial"/>
                <w:sz w:val="24"/>
                <w:szCs w:val="24"/>
              </w:rPr>
            </w:pPr>
            <w:r w:rsidRPr="00392D42">
              <w:rPr>
                <w:rFonts w:ascii="Arial" w:hAnsi="Arial" w:cs="Arial"/>
                <w:sz w:val="24"/>
                <w:szCs w:val="24"/>
              </w:rPr>
              <w:t>11</w:t>
            </w:r>
          </w:p>
        </w:tc>
      </w:tr>
    </w:tbl>
    <w:p w:rsidR="0030467B" w:rsidRPr="00392D42" w:rsidRDefault="0030467B" w:rsidP="0030467B">
      <w:pPr>
        <w:jc w:val="both"/>
        <w:rPr>
          <w:rFonts w:ascii="Arial" w:hAnsi="Arial" w:cs="Arial"/>
          <w:sz w:val="24"/>
          <w:szCs w:val="24"/>
        </w:rPr>
      </w:pPr>
    </w:p>
    <w:p w:rsidR="0030467B" w:rsidRPr="00392D42" w:rsidRDefault="0030467B" w:rsidP="0030467B">
      <w:pPr>
        <w:jc w:val="both"/>
        <w:rPr>
          <w:rFonts w:ascii="Arial" w:hAnsi="Arial" w:cs="Arial"/>
          <w:sz w:val="24"/>
          <w:szCs w:val="24"/>
        </w:rPr>
      </w:pPr>
      <w:r w:rsidRPr="00392D42">
        <w:rPr>
          <w:rFonts w:ascii="Arial" w:hAnsi="Arial" w:cs="Arial"/>
          <w:sz w:val="24"/>
          <w:szCs w:val="24"/>
        </w:rPr>
        <w:t>In addition to supporting studies nationally CCC are supporting the development of Investigator-led research studies where we will lead nationally.  The studies we are currently working on are shown below:</w:t>
      </w:r>
    </w:p>
    <w:tbl>
      <w:tblPr>
        <w:tblW w:w="9177" w:type="dxa"/>
        <w:tblCellMar>
          <w:left w:w="0" w:type="dxa"/>
          <w:right w:w="0" w:type="dxa"/>
        </w:tblCellMar>
        <w:tblLook w:val="04A0" w:firstRow="1" w:lastRow="0" w:firstColumn="1" w:lastColumn="0" w:noHBand="0" w:noVBand="1"/>
      </w:tblPr>
      <w:tblGrid>
        <w:gridCol w:w="1464"/>
        <w:gridCol w:w="1758"/>
        <w:gridCol w:w="4437"/>
        <w:gridCol w:w="1518"/>
      </w:tblGrid>
      <w:tr w:rsidR="0030467B" w:rsidRPr="00392D42" w:rsidTr="00A36BA4">
        <w:trPr>
          <w:trHeight w:val="454"/>
        </w:trPr>
        <w:tc>
          <w:tcPr>
            <w:tcW w:w="1464" w:type="dxa"/>
            <w:tcBorders>
              <w:top w:val="single" w:sz="8" w:space="0" w:color="FFFFFF"/>
              <w:left w:val="single" w:sz="8" w:space="0" w:color="FFFFFF"/>
              <w:bottom w:val="single" w:sz="24" w:space="0" w:color="FFFFFF"/>
              <w:right w:val="single" w:sz="8" w:space="0" w:color="FFFFFF"/>
            </w:tcBorders>
            <w:shd w:val="clear" w:color="auto" w:fill="9BBB59"/>
            <w:tcMar>
              <w:top w:w="15" w:type="dxa"/>
              <w:left w:w="105" w:type="dxa"/>
              <w:bottom w:w="0" w:type="dxa"/>
              <w:right w:w="105" w:type="dxa"/>
            </w:tcMar>
            <w:hideMark/>
          </w:tcPr>
          <w:p w:rsidR="0030467B" w:rsidRPr="00392D42" w:rsidRDefault="0030467B" w:rsidP="0030467B">
            <w:pPr>
              <w:spacing w:after="0"/>
              <w:jc w:val="both"/>
              <w:rPr>
                <w:rFonts w:ascii="Arial" w:hAnsi="Arial" w:cs="Arial"/>
                <w:sz w:val="24"/>
                <w:szCs w:val="24"/>
              </w:rPr>
            </w:pPr>
            <w:r w:rsidRPr="00392D42">
              <w:rPr>
                <w:rFonts w:ascii="Arial" w:hAnsi="Arial" w:cs="Arial"/>
                <w:b/>
                <w:bCs/>
                <w:sz w:val="24"/>
                <w:szCs w:val="24"/>
              </w:rPr>
              <w:t>Short Title</w:t>
            </w:r>
          </w:p>
        </w:tc>
        <w:tc>
          <w:tcPr>
            <w:tcW w:w="1758" w:type="dxa"/>
            <w:tcBorders>
              <w:top w:val="single" w:sz="8" w:space="0" w:color="FFFFFF"/>
              <w:left w:val="single" w:sz="8" w:space="0" w:color="FFFFFF"/>
              <w:bottom w:val="single" w:sz="24" w:space="0" w:color="FFFFFF"/>
              <w:right w:val="single" w:sz="8" w:space="0" w:color="FFFFFF"/>
            </w:tcBorders>
            <w:shd w:val="clear" w:color="auto" w:fill="9BBB59"/>
            <w:tcMar>
              <w:top w:w="15" w:type="dxa"/>
              <w:left w:w="105" w:type="dxa"/>
              <w:bottom w:w="0" w:type="dxa"/>
              <w:right w:w="105" w:type="dxa"/>
            </w:tcMar>
            <w:hideMark/>
          </w:tcPr>
          <w:p w:rsidR="0030467B" w:rsidRPr="00392D42" w:rsidRDefault="0030467B" w:rsidP="0030467B">
            <w:pPr>
              <w:spacing w:after="0"/>
              <w:jc w:val="both"/>
              <w:rPr>
                <w:rFonts w:ascii="Arial" w:hAnsi="Arial" w:cs="Arial"/>
                <w:sz w:val="24"/>
                <w:szCs w:val="24"/>
              </w:rPr>
            </w:pPr>
            <w:r w:rsidRPr="00392D42">
              <w:rPr>
                <w:rFonts w:ascii="Arial" w:hAnsi="Arial" w:cs="Arial"/>
                <w:b/>
                <w:bCs/>
                <w:sz w:val="24"/>
                <w:szCs w:val="24"/>
              </w:rPr>
              <w:t>Type</w:t>
            </w:r>
          </w:p>
        </w:tc>
        <w:tc>
          <w:tcPr>
            <w:tcW w:w="4437" w:type="dxa"/>
            <w:tcBorders>
              <w:top w:val="single" w:sz="8" w:space="0" w:color="FFFFFF"/>
              <w:left w:val="single" w:sz="8" w:space="0" w:color="FFFFFF"/>
              <w:bottom w:val="single" w:sz="24" w:space="0" w:color="FFFFFF"/>
              <w:right w:val="single" w:sz="8" w:space="0" w:color="FFFFFF"/>
            </w:tcBorders>
            <w:shd w:val="clear" w:color="auto" w:fill="9BBB59"/>
            <w:tcMar>
              <w:top w:w="15" w:type="dxa"/>
              <w:left w:w="105" w:type="dxa"/>
              <w:bottom w:w="0" w:type="dxa"/>
              <w:right w:w="105" w:type="dxa"/>
            </w:tcMar>
            <w:hideMark/>
          </w:tcPr>
          <w:p w:rsidR="0030467B" w:rsidRPr="00392D42" w:rsidRDefault="0030467B" w:rsidP="0030467B">
            <w:pPr>
              <w:spacing w:after="0"/>
              <w:jc w:val="both"/>
              <w:rPr>
                <w:rFonts w:ascii="Arial" w:hAnsi="Arial" w:cs="Arial"/>
                <w:sz w:val="24"/>
                <w:szCs w:val="24"/>
              </w:rPr>
            </w:pPr>
            <w:r w:rsidRPr="00392D42">
              <w:rPr>
                <w:rFonts w:ascii="Arial" w:hAnsi="Arial" w:cs="Arial"/>
                <w:b/>
                <w:bCs/>
                <w:sz w:val="24"/>
                <w:szCs w:val="24"/>
              </w:rPr>
              <w:t>Short Summary</w:t>
            </w:r>
          </w:p>
        </w:tc>
        <w:tc>
          <w:tcPr>
            <w:tcW w:w="1518" w:type="dxa"/>
            <w:tcBorders>
              <w:top w:val="single" w:sz="8" w:space="0" w:color="FFFFFF"/>
              <w:left w:val="single" w:sz="8" w:space="0" w:color="FFFFFF"/>
              <w:bottom w:val="single" w:sz="24" w:space="0" w:color="FFFFFF"/>
              <w:right w:val="single" w:sz="8" w:space="0" w:color="FFFFFF"/>
            </w:tcBorders>
            <w:shd w:val="clear" w:color="auto" w:fill="9BBB59"/>
            <w:tcMar>
              <w:top w:w="15" w:type="dxa"/>
              <w:left w:w="105" w:type="dxa"/>
              <w:bottom w:w="0" w:type="dxa"/>
              <w:right w:w="105" w:type="dxa"/>
            </w:tcMar>
            <w:hideMark/>
          </w:tcPr>
          <w:p w:rsidR="0030467B" w:rsidRPr="00392D42" w:rsidRDefault="0030467B" w:rsidP="0030467B">
            <w:pPr>
              <w:spacing w:after="0"/>
              <w:jc w:val="both"/>
              <w:rPr>
                <w:rFonts w:ascii="Arial" w:hAnsi="Arial" w:cs="Arial"/>
                <w:sz w:val="24"/>
                <w:szCs w:val="24"/>
              </w:rPr>
            </w:pPr>
            <w:r w:rsidRPr="00392D42">
              <w:rPr>
                <w:rFonts w:ascii="Arial" w:hAnsi="Arial" w:cs="Arial"/>
                <w:b/>
                <w:bCs/>
                <w:sz w:val="24"/>
                <w:szCs w:val="24"/>
              </w:rPr>
              <w:t>CI</w:t>
            </w:r>
          </w:p>
        </w:tc>
      </w:tr>
      <w:tr w:rsidR="0030467B" w:rsidRPr="00392D42" w:rsidTr="00A36BA4">
        <w:trPr>
          <w:trHeight w:val="1184"/>
        </w:trPr>
        <w:tc>
          <w:tcPr>
            <w:tcW w:w="1464" w:type="dxa"/>
            <w:tcBorders>
              <w:top w:val="single" w:sz="24" w:space="0" w:color="FFFFFF"/>
              <w:left w:val="single" w:sz="8" w:space="0" w:color="FFFFFF"/>
              <w:bottom w:val="single" w:sz="8" w:space="0" w:color="FFFFFF"/>
              <w:right w:val="single" w:sz="8" w:space="0" w:color="FFFFFF"/>
            </w:tcBorders>
            <w:shd w:val="clear" w:color="auto" w:fill="9BBB59"/>
            <w:tcMar>
              <w:top w:w="15" w:type="dxa"/>
              <w:left w:w="105" w:type="dxa"/>
              <w:bottom w:w="0" w:type="dxa"/>
              <w:right w:w="105" w:type="dxa"/>
            </w:tcMar>
            <w:hideMark/>
          </w:tcPr>
          <w:p w:rsidR="0030467B" w:rsidRPr="00392D42" w:rsidRDefault="0030467B" w:rsidP="0030467B">
            <w:pPr>
              <w:spacing w:after="0"/>
              <w:jc w:val="both"/>
              <w:rPr>
                <w:rFonts w:ascii="Arial" w:hAnsi="Arial" w:cs="Arial"/>
                <w:sz w:val="24"/>
                <w:szCs w:val="24"/>
              </w:rPr>
            </w:pPr>
            <w:r w:rsidRPr="00392D42">
              <w:rPr>
                <w:rFonts w:ascii="Arial" w:hAnsi="Arial" w:cs="Arial"/>
                <w:b/>
                <w:bCs/>
                <w:sz w:val="24"/>
                <w:szCs w:val="24"/>
              </w:rPr>
              <w:t>DISCOVER</w:t>
            </w:r>
          </w:p>
        </w:tc>
        <w:tc>
          <w:tcPr>
            <w:tcW w:w="1758" w:type="dxa"/>
            <w:tcBorders>
              <w:top w:val="single" w:sz="24" w:space="0" w:color="FFFFFF"/>
              <w:left w:val="single" w:sz="8" w:space="0" w:color="FFFFFF"/>
              <w:bottom w:val="single" w:sz="8" w:space="0" w:color="FFFFFF"/>
              <w:right w:val="single" w:sz="8" w:space="0" w:color="FFFFFF"/>
            </w:tcBorders>
            <w:shd w:val="clear" w:color="auto" w:fill="DEE7D1"/>
            <w:tcMar>
              <w:top w:w="15" w:type="dxa"/>
              <w:left w:w="105" w:type="dxa"/>
              <w:bottom w:w="0" w:type="dxa"/>
              <w:right w:w="105" w:type="dxa"/>
            </w:tcMar>
            <w:hideMark/>
          </w:tcPr>
          <w:p w:rsidR="0030467B" w:rsidRPr="00392D42" w:rsidRDefault="0030467B" w:rsidP="0030467B">
            <w:pPr>
              <w:spacing w:after="0"/>
              <w:jc w:val="both"/>
              <w:rPr>
                <w:rFonts w:ascii="Arial" w:hAnsi="Arial" w:cs="Arial"/>
                <w:sz w:val="24"/>
                <w:szCs w:val="24"/>
              </w:rPr>
            </w:pPr>
            <w:r w:rsidRPr="00392D42">
              <w:rPr>
                <w:rFonts w:ascii="Arial" w:hAnsi="Arial" w:cs="Arial"/>
                <w:sz w:val="24"/>
                <w:szCs w:val="24"/>
              </w:rPr>
              <w:t>Observational non-randomised</w:t>
            </w:r>
          </w:p>
          <w:p w:rsidR="0030467B" w:rsidRPr="00392D42" w:rsidRDefault="0030467B" w:rsidP="0030467B">
            <w:pPr>
              <w:spacing w:after="0"/>
              <w:jc w:val="both"/>
              <w:rPr>
                <w:rFonts w:ascii="Arial" w:hAnsi="Arial" w:cs="Arial"/>
                <w:sz w:val="24"/>
                <w:szCs w:val="24"/>
              </w:rPr>
            </w:pPr>
            <w:r w:rsidRPr="00392D42">
              <w:rPr>
                <w:rFonts w:ascii="Arial" w:hAnsi="Arial" w:cs="Arial"/>
                <w:sz w:val="24"/>
                <w:szCs w:val="24"/>
              </w:rPr>
              <w:t> </w:t>
            </w:r>
          </w:p>
          <w:p w:rsidR="0030467B" w:rsidRPr="00392D42" w:rsidRDefault="0030467B" w:rsidP="0030467B">
            <w:pPr>
              <w:spacing w:after="0"/>
              <w:jc w:val="both"/>
              <w:rPr>
                <w:rFonts w:ascii="Arial" w:hAnsi="Arial" w:cs="Arial"/>
                <w:sz w:val="24"/>
                <w:szCs w:val="24"/>
              </w:rPr>
            </w:pPr>
            <w:r w:rsidRPr="00392D42">
              <w:rPr>
                <w:rFonts w:ascii="Arial" w:hAnsi="Arial" w:cs="Arial"/>
                <w:sz w:val="24"/>
                <w:szCs w:val="24"/>
              </w:rPr>
              <w:t> </w:t>
            </w:r>
          </w:p>
        </w:tc>
        <w:tc>
          <w:tcPr>
            <w:tcW w:w="4437" w:type="dxa"/>
            <w:tcBorders>
              <w:top w:val="single" w:sz="24" w:space="0" w:color="FFFFFF"/>
              <w:left w:val="single" w:sz="8" w:space="0" w:color="FFFFFF"/>
              <w:bottom w:val="single" w:sz="8" w:space="0" w:color="FFFFFF"/>
              <w:right w:val="single" w:sz="8" w:space="0" w:color="FFFFFF"/>
            </w:tcBorders>
            <w:shd w:val="clear" w:color="auto" w:fill="DEE7D1"/>
            <w:tcMar>
              <w:top w:w="15" w:type="dxa"/>
              <w:left w:w="105" w:type="dxa"/>
              <w:bottom w:w="0" w:type="dxa"/>
              <w:right w:w="105" w:type="dxa"/>
            </w:tcMar>
            <w:hideMark/>
          </w:tcPr>
          <w:p w:rsidR="0030467B" w:rsidRPr="00392D42" w:rsidRDefault="0030467B" w:rsidP="0030467B">
            <w:pPr>
              <w:spacing w:after="0"/>
              <w:jc w:val="both"/>
              <w:rPr>
                <w:rFonts w:ascii="Arial" w:hAnsi="Arial" w:cs="Arial"/>
                <w:sz w:val="24"/>
                <w:szCs w:val="24"/>
              </w:rPr>
            </w:pPr>
            <w:r w:rsidRPr="00392D42">
              <w:rPr>
                <w:rFonts w:ascii="Arial" w:hAnsi="Arial" w:cs="Arial"/>
                <w:sz w:val="24"/>
                <w:szCs w:val="24"/>
              </w:rPr>
              <w:t>A non-randomised cohort study during the SARS-CoV-2 pandemic to understand viral exposure and handling by cancer patients.  To elucidate the consequences of SARS-CoV-2 exposure in susceptible cancer patients.  The study will involve 2 sites only CCC and The Christie .</w:t>
            </w:r>
          </w:p>
        </w:tc>
        <w:tc>
          <w:tcPr>
            <w:tcW w:w="1518" w:type="dxa"/>
            <w:tcBorders>
              <w:top w:val="single" w:sz="24" w:space="0" w:color="FFFFFF"/>
              <w:left w:val="single" w:sz="8" w:space="0" w:color="FFFFFF"/>
              <w:bottom w:val="single" w:sz="8" w:space="0" w:color="FFFFFF"/>
              <w:right w:val="single" w:sz="8" w:space="0" w:color="FFFFFF"/>
            </w:tcBorders>
            <w:shd w:val="clear" w:color="auto" w:fill="DEE7D1"/>
            <w:tcMar>
              <w:top w:w="15" w:type="dxa"/>
              <w:left w:w="105" w:type="dxa"/>
              <w:bottom w:w="0" w:type="dxa"/>
              <w:right w:w="105" w:type="dxa"/>
            </w:tcMar>
            <w:hideMark/>
          </w:tcPr>
          <w:p w:rsidR="0030467B" w:rsidRPr="00392D42" w:rsidRDefault="0030467B" w:rsidP="0030467B">
            <w:pPr>
              <w:spacing w:after="0"/>
              <w:jc w:val="both"/>
              <w:rPr>
                <w:rFonts w:ascii="Arial" w:hAnsi="Arial" w:cs="Arial"/>
                <w:sz w:val="24"/>
                <w:szCs w:val="24"/>
              </w:rPr>
            </w:pPr>
            <w:r w:rsidRPr="00392D42">
              <w:rPr>
                <w:rFonts w:ascii="Arial" w:hAnsi="Arial" w:cs="Arial"/>
                <w:sz w:val="24"/>
                <w:szCs w:val="24"/>
              </w:rPr>
              <w:t>Professor Kalakonda</w:t>
            </w:r>
          </w:p>
        </w:tc>
      </w:tr>
      <w:tr w:rsidR="0030467B" w:rsidRPr="00392D42" w:rsidTr="00A36BA4">
        <w:trPr>
          <w:trHeight w:val="629"/>
        </w:trPr>
        <w:tc>
          <w:tcPr>
            <w:tcW w:w="1464" w:type="dxa"/>
            <w:tcBorders>
              <w:top w:val="single" w:sz="8" w:space="0" w:color="FFFFFF"/>
              <w:left w:val="single" w:sz="8" w:space="0" w:color="FFFFFF"/>
              <w:bottom w:val="single" w:sz="8" w:space="0" w:color="FFFFFF"/>
              <w:right w:val="single" w:sz="8" w:space="0" w:color="FFFFFF"/>
            </w:tcBorders>
            <w:shd w:val="clear" w:color="auto" w:fill="9BBB59"/>
            <w:tcMar>
              <w:top w:w="15" w:type="dxa"/>
              <w:left w:w="105" w:type="dxa"/>
              <w:bottom w:w="0" w:type="dxa"/>
              <w:right w:w="105" w:type="dxa"/>
            </w:tcMar>
            <w:hideMark/>
          </w:tcPr>
          <w:p w:rsidR="0030467B" w:rsidRPr="00392D42" w:rsidRDefault="0030467B" w:rsidP="0030467B">
            <w:pPr>
              <w:spacing w:after="0"/>
              <w:jc w:val="both"/>
              <w:rPr>
                <w:rFonts w:ascii="Arial" w:hAnsi="Arial" w:cs="Arial"/>
                <w:sz w:val="24"/>
                <w:szCs w:val="24"/>
              </w:rPr>
            </w:pPr>
            <w:r w:rsidRPr="00392D42">
              <w:rPr>
                <w:rFonts w:ascii="Arial" w:hAnsi="Arial" w:cs="Arial"/>
                <w:b/>
                <w:bCs/>
                <w:sz w:val="24"/>
                <w:szCs w:val="24"/>
              </w:rPr>
              <w:lastRenderedPageBreak/>
              <w:t>CPP Cancer</w:t>
            </w:r>
          </w:p>
        </w:tc>
        <w:tc>
          <w:tcPr>
            <w:tcW w:w="1758" w:type="dxa"/>
            <w:tcBorders>
              <w:top w:val="single" w:sz="8" w:space="0" w:color="FFFFFF"/>
              <w:left w:val="single" w:sz="8" w:space="0" w:color="FFFFFF"/>
              <w:bottom w:val="single" w:sz="8" w:space="0" w:color="FFFFFF"/>
              <w:right w:val="single" w:sz="8" w:space="0" w:color="FFFFFF"/>
            </w:tcBorders>
            <w:shd w:val="clear" w:color="auto" w:fill="EFF3EA"/>
            <w:tcMar>
              <w:top w:w="15" w:type="dxa"/>
              <w:left w:w="105" w:type="dxa"/>
              <w:bottom w:w="0" w:type="dxa"/>
              <w:right w:w="105" w:type="dxa"/>
            </w:tcMar>
            <w:hideMark/>
          </w:tcPr>
          <w:p w:rsidR="0030467B" w:rsidRPr="00392D42" w:rsidRDefault="0030467B" w:rsidP="0030467B">
            <w:pPr>
              <w:spacing w:after="0"/>
              <w:jc w:val="both"/>
              <w:rPr>
                <w:rFonts w:ascii="Arial" w:hAnsi="Arial" w:cs="Arial"/>
                <w:sz w:val="24"/>
                <w:szCs w:val="24"/>
              </w:rPr>
            </w:pPr>
            <w:r w:rsidRPr="00392D42">
              <w:rPr>
                <w:rFonts w:ascii="Arial" w:hAnsi="Arial" w:cs="Arial"/>
                <w:sz w:val="24"/>
                <w:szCs w:val="24"/>
              </w:rPr>
              <w:t>Observational/ Database</w:t>
            </w:r>
          </w:p>
        </w:tc>
        <w:tc>
          <w:tcPr>
            <w:tcW w:w="4437" w:type="dxa"/>
            <w:tcBorders>
              <w:top w:val="single" w:sz="8" w:space="0" w:color="FFFFFF"/>
              <w:left w:val="single" w:sz="8" w:space="0" w:color="FFFFFF"/>
              <w:bottom w:val="single" w:sz="8" w:space="0" w:color="FFFFFF"/>
              <w:right w:val="single" w:sz="8" w:space="0" w:color="FFFFFF"/>
            </w:tcBorders>
            <w:shd w:val="clear" w:color="auto" w:fill="EFF3EA"/>
            <w:tcMar>
              <w:top w:w="15" w:type="dxa"/>
              <w:left w:w="105" w:type="dxa"/>
              <w:bottom w:w="0" w:type="dxa"/>
              <w:right w:w="105" w:type="dxa"/>
            </w:tcMar>
            <w:hideMark/>
          </w:tcPr>
          <w:p w:rsidR="0030467B" w:rsidRPr="00392D42" w:rsidRDefault="0030467B" w:rsidP="0030467B">
            <w:pPr>
              <w:spacing w:after="0"/>
              <w:jc w:val="both"/>
              <w:rPr>
                <w:rFonts w:ascii="Arial" w:hAnsi="Arial" w:cs="Arial"/>
                <w:sz w:val="24"/>
                <w:szCs w:val="24"/>
              </w:rPr>
            </w:pPr>
            <w:r w:rsidRPr="00392D42">
              <w:rPr>
                <w:rFonts w:ascii="Arial" w:hAnsi="Arial" w:cs="Arial"/>
                <w:sz w:val="24"/>
                <w:szCs w:val="24"/>
              </w:rPr>
              <w:t>The study will come under the current ISARIC-UK umbrella, but will focus on information on neoplastic patients. </w:t>
            </w:r>
          </w:p>
        </w:tc>
        <w:tc>
          <w:tcPr>
            <w:tcW w:w="1518" w:type="dxa"/>
            <w:tcBorders>
              <w:top w:val="single" w:sz="8" w:space="0" w:color="FFFFFF"/>
              <w:left w:val="single" w:sz="8" w:space="0" w:color="FFFFFF"/>
              <w:bottom w:val="single" w:sz="8" w:space="0" w:color="FFFFFF"/>
              <w:right w:val="single" w:sz="8" w:space="0" w:color="FFFFFF"/>
            </w:tcBorders>
            <w:shd w:val="clear" w:color="auto" w:fill="EFF3EA"/>
            <w:tcMar>
              <w:top w:w="15" w:type="dxa"/>
              <w:left w:w="105" w:type="dxa"/>
              <w:bottom w:w="0" w:type="dxa"/>
              <w:right w:w="105" w:type="dxa"/>
            </w:tcMar>
            <w:hideMark/>
          </w:tcPr>
          <w:p w:rsidR="0030467B" w:rsidRPr="00392D42" w:rsidRDefault="0030467B" w:rsidP="0030467B">
            <w:pPr>
              <w:spacing w:after="0"/>
              <w:jc w:val="both"/>
              <w:rPr>
                <w:rFonts w:ascii="Arial" w:hAnsi="Arial" w:cs="Arial"/>
                <w:sz w:val="24"/>
                <w:szCs w:val="24"/>
              </w:rPr>
            </w:pPr>
            <w:r w:rsidRPr="00392D42">
              <w:rPr>
                <w:rFonts w:ascii="Arial" w:hAnsi="Arial" w:cs="Arial"/>
                <w:sz w:val="24"/>
                <w:szCs w:val="24"/>
              </w:rPr>
              <w:t>Professor Palmieri</w:t>
            </w:r>
          </w:p>
        </w:tc>
      </w:tr>
      <w:tr w:rsidR="0030467B" w:rsidRPr="00392D42" w:rsidTr="00A36BA4">
        <w:trPr>
          <w:trHeight w:val="822"/>
        </w:trPr>
        <w:tc>
          <w:tcPr>
            <w:tcW w:w="1464" w:type="dxa"/>
            <w:tcBorders>
              <w:top w:val="single" w:sz="8" w:space="0" w:color="FFFFFF"/>
              <w:left w:val="single" w:sz="8" w:space="0" w:color="FFFFFF"/>
              <w:bottom w:val="single" w:sz="8" w:space="0" w:color="FFFFFF"/>
              <w:right w:val="single" w:sz="8" w:space="0" w:color="FFFFFF"/>
            </w:tcBorders>
            <w:shd w:val="clear" w:color="auto" w:fill="9BBB59"/>
            <w:tcMar>
              <w:top w:w="15" w:type="dxa"/>
              <w:left w:w="105" w:type="dxa"/>
              <w:bottom w:w="0" w:type="dxa"/>
              <w:right w:w="105" w:type="dxa"/>
            </w:tcMar>
            <w:hideMark/>
          </w:tcPr>
          <w:p w:rsidR="0030467B" w:rsidRPr="00392D42" w:rsidRDefault="0030467B" w:rsidP="0030467B">
            <w:pPr>
              <w:spacing w:after="0"/>
              <w:jc w:val="both"/>
              <w:rPr>
                <w:rFonts w:ascii="Arial" w:hAnsi="Arial" w:cs="Arial"/>
                <w:sz w:val="24"/>
                <w:szCs w:val="24"/>
              </w:rPr>
            </w:pPr>
            <w:r w:rsidRPr="00392D42">
              <w:rPr>
                <w:rFonts w:ascii="Arial" w:hAnsi="Arial" w:cs="Arial"/>
                <w:b/>
                <w:bCs/>
                <w:sz w:val="24"/>
                <w:szCs w:val="24"/>
              </w:rPr>
              <w:t>NCRAS COVID Registries</w:t>
            </w:r>
          </w:p>
        </w:tc>
        <w:tc>
          <w:tcPr>
            <w:tcW w:w="1758" w:type="dxa"/>
            <w:tcBorders>
              <w:top w:val="single" w:sz="8" w:space="0" w:color="FFFFFF"/>
              <w:left w:val="single" w:sz="8" w:space="0" w:color="FFFFFF"/>
              <w:bottom w:val="single" w:sz="8" w:space="0" w:color="FFFFFF"/>
              <w:right w:val="single" w:sz="8" w:space="0" w:color="FFFFFF"/>
            </w:tcBorders>
            <w:shd w:val="clear" w:color="auto" w:fill="DEE7D1"/>
            <w:tcMar>
              <w:top w:w="15" w:type="dxa"/>
              <w:left w:w="105" w:type="dxa"/>
              <w:bottom w:w="0" w:type="dxa"/>
              <w:right w:w="105" w:type="dxa"/>
            </w:tcMar>
            <w:hideMark/>
          </w:tcPr>
          <w:p w:rsidR="0030467B" w:rsidRPr="00392D42" w:rsidRDefault="0030467B" w:rsidP="0030467B">
            <w:pPr>
              <w:spacing w:after="0"/>
              <w:jc w:val="both"/>
              <w:rPr>
                <w:rFonts w:ascii="Arial" w:hAnsi="Arial" w:cs="Arial"/>
                <w:sz w:val="24"/>
                <w:szCs w:val="24"/>
              </w:rPr>
            </w:pPr>
            <w:r w:rsidRPr="00392D42">
              <w:rPr>
                <w:rFonts w:ascii="Arial" w:hAnsi="Arial" w:cs="Arial"/>
                <w:sz w:val="24"/>
                <w:szCs w:val="24"/>
              </w:rPr>
              <w:t>Observational/ Registry</w:t>
            </w:r>
          </w:p>
        </w:tc>
        <w:tc>
          <w:tcPr>
            <w:tcW w:w="4437" w:type="dxa"/>
            <w:tcBorders>
              <w:top w:val="single" w:sz="8" w:space="0" w:color="FFFFFF"/>
              <w:left w:val="single" w:sz="8" w:space="0" w:color="FFFFFF"/>
              <w:bottom w:val="single" w:sz="8" w:space="0" w:color="FFFFFF"/>
              <w:right w:val="single" w:sz="8" w:space="0" w:color="FFFFFF"/>
            </w:tcBorders>
            <w:shd w:val="clear" w:color="auto" w:fill="DEE7D1"/>
            <w:tcMar>
              <w:top w:w="15" w:type="dxa"/>
              <w:left w:w="105" w:type="dxa"/>
              <w:bottom w:w="0" w:type="dxa"/>
              <w:right w:w="105" w:type="dxa"/>
            </w:tcMar>
            <w:hideMark/>
          </w:tcPr>
          <w:p w:rsidR="0030467B" w:rsidRPr="00392D42" w:rsidRDefault="0030467B" w:rsidP="0030467B">
            <w:pPr>
              <w:spacing w:after="0"/>
              <w:jc w:val="both"/>
              <w:rPr>
                <w:rFonts w:ascii="Arial" w:hAnsi="Arial" w:cs="Arial"/>
                <w:sz w:val="24"/>
                <w:szCs w:val="24"/>
              </w:rPr>
            </w:pPr>
            <w:r w:rsidRPr="00392D42">
              <w:rPr>
                <w:rFonts w:ascii="Arial" w:hAnsi="Arial" w:cs="Arial"/>
                <w:sz w:val="24"/>
                <w:szCs w:val="24"/>
              </w:rPr>
              <w:t>CLL and Low grade Lymphoma treatment and outcome registry linked to COVID19 outcomes.</w:t>
            </w:r>
          </w:p>
        </w:tc>
        <w:tc>
          <w:tcPr>
            <w:tcW w:w="1518" w:type="dxa"/>
            <w:tcBorders>
              <w:top w:val="single" w:sz="8" w:space="0" w:color="FFFFFF"/>
              <w:left w:val="single" w:sz="8" w:space="0" w:color="FFFFFF"/>
              <w:bottom w:val="single" w:sz="8" w:space="0" w:color="FFFFFF"/>
              <w:right w:val="single" w:sz="8" w:space="0" w:color="FFFFFF"/>
            </w:tcBorders>
            <w:shd w:val="clear" w:color="auto" w:fill="DEE7D1"/>
            <w:tcMar>
              <w:top w:w="15" w:type="dxa"/>
              <w:left w:w="105" w:type="dxa"/>
              <w:bottom w:w="0" w:type="dxa"/>
              <w:right w:w="105" w:type="dxa"/>
            </w:tcMar>
            <w:hideMark/>
          </w:tcPr>
          <w:p w:rsidR="0030467B" w:rsidRPr="00392D42" w:rsidRDefault="0030467B" w:rsidP="0030467B">
            <w:pPr>
              <w:spacing w:after="0"/>
              <w:jc w:val="both"/>
              <w:rPr>
                <w:rFonts w:ascii="Arial" w:hAnsi="Arial" w:cs="Arial"/>
                <w:sz w:val="24"/>
                <w:szCs w:val="24"/>
              </w:rPr>
            </w:pPr>
            <w:r w:rsidRPr="00392D42">
              <w:rPr>
                <w:rFonts w:ascii="Arial" w:hAnsi="Arial" w:cs="Arial"/>
                <w:sz w:val="24"/>
                <w:szCs w:val="24"/>
              </w:rPr>
              <w:t>Professors Kalakonda &amp;</w:t>
            </w:r>
          </w:p>
          <w:p w:rsidR="0030467B" w:rsidRPr="00392D42" w:rsidRDefault="0030467B" w:rsidP="0030467B">
            <w:pPr>
              <w:spacing w:after="0"/>
              <w:jc w:val="both"/>
              <w:rPr>
                <w:rFonts w:ascii="Arial" w:hAnsi="Arial" w:cs="Arial"/>
                <w:sz w:val="24"/>
                <w:szCs w:val="24"/>
              </w:rPr>
            </w:pPr>
            <w:r w:rsidRPr="00392D42">
              <w:rPr>
                <w:rFonts w:ascii="Arial" w:hAnsi="Arial" w:cs="Arial"/>
                <w:sz w:val="24"/>
                <w:szCs w:val="24"/>
              </w:rPr>
              <w:t>Pettitt</w:t>
            </w:r>
          </w:p>
        </w:tc>
      </w:tr>
      <w:tr w:rsidR="0030467B" w:rsidRPr="00392D42" w:rsidTr="00A36BA4">
        <w:trPr>
          <w:trHeight w:val="822"/>
        </w:trPr>
        <w:tc>
          <w:tcPr>
            <w:tcW w:w="1464" w:type="dxa"/>
            <w:tcBorders>
              <w:top w:val="single" w:sz="8" w:space="0" w:color="FFFFFF"/>
              <w:left w:val="single" w:sz="8" w:space="0" w:color="FFFFFF"/>
              <w:bottom w:val="single" w:sz="8" w:space="0" w:color="FFFFFF"/>
              <w:right w:val="single" w:sz="8" w:space="0" w:color="FFFFFF"/>
            </w:tcBorders>
            <w:shd w:val="clear" w:color="auto" w:fill="9BBB59"/>
            <w:tcMar>
              <w:top w:w="15" w:type="dxa"/>
              <w:left w:w="105" w:type="dxa"/>
              <w:bottom w:w="0" w:type="dxa"/>
              <w:right w:w="105" w:type="dxa"/>
            </w:tcMar>
          </w:tcPr>
          <w:p w:rsidR="0030467B" w:rsidRPr="00392D42" w:rsidRDefault="0030467B" w:rsidP="0030467B">
            <w:pPr>
              <w:spacing w:after="0"/>
              <w:jc w:val="both"/>
              <w:rPr>
                <w:rFonts w:ascii="Arial" w:hAnsi="Arial" w:cs="Arial"/>
                <w:b/>
                <w:bCs/>
                <w:sz w:val="24"/>
                <w:szCs w:val="24"/>
              </w:rPr>
            </w:pPr>
            <w:r w:rsidRPr="00392D42">
              <w:rPr>
                <w:rFonts w:ascii="Arial" w:hAnsi="Arial" w:cs="Arial"/>
                <w:b/>
                <w:bCs/>
                <w:sz w:val="24"/>
                <w:szCs w:val="24"/>
              </w:rPr>
              <w:t>Safe Surgery</w:t>
            </w:r>
          </w:p>
        </w:tc>
        <w:tc>
          <w:tcPr>
            <w:tcW w:w="1758" w:type="dxa"/>
            <w:tcBorders>
              <w:top w:val="single" w:sz="8" w:space="0" w:color="FFFFFF"/>
              <w:left w:val="single" w:sz="8" w:space="0" w:color="FFFFFF"/>
              <w:bottom w:val="single" w:sz="8" w:space="0" w:color="FFFFFF"/>
              <w:right w:val="single" w:sz="8" w:space="0" w:color="FFFFFF"/>
            </w:tcBorders>
            <w:shd w:val="clear" w:color="auto" w:fill="DEE7D1"/>
            <w:tcMar>
              <w:top w:w="15" w:type="dxa"/>
              <w:left w:w="105" w:type="dxa"/>
              <w:bottom w:w="0" w:type="dxa"/>
              <w:right w:w="105" w:type="dxa"/>
            </w:tcMar>
          </w:tcPr>
          <w:p w:rsidR="0030467B" w:rsidRPr="00392D42" w:rsidRDefault="0030467B" w:rsidP="0030467B">
            <w:pPr>
              <w:spacing w:after="0"/>
              <w:jc w:val="both"/>
              <w:rPr>
                <w:rFonts w:ascii="Arial" w:hAnsi="Arial" w:cs="Arial"/>
                <w:sz w:val="24"/>
                <w:szCs w:val="24"/>
              </w:rPr>
            </w:pPr>
            <w:r w:rsidRPr="00392D42">
              <w:rPr>
                <w:rFonts w:ascii="Arial" w:hAnsi="Arial" w:cs="Arial"/>
                <w:sz w:val="24"/>
                <w:szCs w:val="24"/>
              </w:rPr>
              <w:t>Biorepository/ Scientific</w:t>
            </w:r>
          </w:p>
        </w:tc>
        <w:tc>
          <w:tcPr>
            <w:tcW w:w="4437" w:type="dxa"/>
            <w:tcBorders>
              <w:top w:val="single" w:sz="8" w:space="0" w:color="FFFFFF"/>
              <w:left w:val="single" w:sz="8" w:space="0" w:color="FFFFFF"/>
              <w:bottom w:val="single" w:sz="8" w:space="0" w:color="FFFFFF"/>
              <w:right w:val="single" w:sz="8" w:space="0" w:color="FFFFFF"/>
            </w:tcBorders>
            <w:shd w:val="clear" w:color="auto" w:fill="DEE7D1"/>
            <w:tcMar>
              <w:top w:w="15" w:type="dxa"/>
              <w:left w:w="105" w:type="dxa"/>
              <w:bottom w:w="0" w:type="dxa"/>
              <w:right w:w="105" w:type="dxa"/>
            </w:tcMar>
          </w:tcPr>
          <w:p w:rsidR="0030467B" w:rsidRPr="00392D42" w:rsidRDefault="0030467B" w:rsidP="0030467B">
            <w:pPr>
              <w:spacing w:after="0"/>
              <w:jc w:val="both"/>
              <w:rPr>
                <w:rFonts w:ascii="Arial" w:hAnsi="Arial" w:cs="Arial"/>
                <w:sz w:val="24"/>
                <w:szCs w:val="24"/>
              </w:rPr>
            </w:pPr>
            <w:r w:rsidRPr="00392D42">
              <w:rPr>
                <w:rFonts w:ascii="Arial" w:hAnsi="Arial" w:cs="Arial"/>
                <w:sz w:val="24"/>
                <w:szCs w:val="24"/>
              </w:rPr>
              <w:t>A retrospective element data and biosample collection  (20 sites) and prospective biosample and clinical data collection</w:t>
            </w:r>
          </w:p>
        </w:tc>
        <w:tc>
          <w:tcPr>
            <w:tcW w:w="1518" w:type="dxa"/>
            <w:tcBorders>
              <w:top w:val="single" w:sz="8" w:space="0" w:color="FFFFFF"/>
              <w:left w:val="single" w:sz="8" w:space="0" w:color="FFFFFF"/>
              <w:bottom w:val="single" w:sz="8" w:space="0" w:color="FFFFFF"/>
              <w:right w:val="single" w:sz="8" w:space="0" w:color="FFFFFF"/>
            </w:tcBorders>
            <w:shd w:val="clear" w:color="auto" w:fill="DEE7D1"/>
            <w:tcMar>
              <w:top w:w="15" w:type="dxa"/>
              <w:left w:w="105" w:type="dxa"/>
              <w:bottom w:w="0" w:type="dxa"/>
              <w:right w:w="105" w:type="dxa"/>
            </w:tcMar>
          </w:tcPr>
          <w:p w:rsidR="0030467B" w:rsidRPr="00392D42" w:rsidRDefault="0030467B" w:rsidP="0030467B">
            <w:pPr>
              <w:spacing w:after="0"/>
              <w:jc w:val="both"/>
              <w:rPr>
                <w:rFonts w:ascii="Arial" w:hAnsi="Arial" w:cs="Arial"/>
                <w:sz w:val="24"/>
                <w:szCs w:val="24"/>
              </w:rPr>
            </w:pPr>
            <w:r w:rsidRPr="00392D42">
              <w:rPr>
                <w:rFonts w:ascii="Arial" w:hAnsi="Arial" w:cs="Arial"/>
                <w:sz w:val="24"/>
                <w:szCs w:val="24"/>
              </w:rPr>
              <w:t>Professor Ottensmeier</w:t>
            </w:r>
          </w:p>
        </w:tc>
      </w:tr>
    </w:tbl>
    <w:p w:rsidR="00C23712" w:rsidRPr="00392D42" w:rsidRDefault="00C23712" w:rsidP="00CD0AF5">
      <w:pPr>
        <w:spacing w:after="0"/>
        <w:ind w:left="-426"/>
        <w:jc w:val="both"/>
        <w:rPr>
          <w:rFonts w:ascii="Arial" w:hAnsi="Arial" w:cs="Arial"/>
          <w:sz w:val="24"/>
          <w:szCs w:val="24"/>
          <w:highlight w:val="yellow"/>
        </w:rPr>
      </w:pPr>
    </w:p>
    <w:p w:rsidR="00A36BA4" w:rsidRDefault="00A36BA4" w:rsidP="0012109F">
      <w:pPr>
        <w:spacing w:after="0"/>
        <w:ind w:left="-426"/>
        <w:jc w:val="both"/>
        <w:rPr>
          <w:rFonts w:ascii="Arial" w:hAnsi="Arial" w:cs="Arial"/>
          <w:noProof/>
          <w:sz w:val="24"/>
          <w:szCs w:val="24"/>
          <w:lang w:eastAsia="en-GB"/>
        </w:rPr>
      </w:pPr>
    </w:p>
    <w:tbl>
      <w:tblPr>
        <w:tblW w:w="10349" w:type="dxa"/>
        <w:tblInd w:w="-355" w:type="dxa"/>
        <w:tblBorders>
          <w:top w:val="single" w:sz="12" w:space="0" w:color="4F6228" w:themeColor="accent3" w:themeShade="80"/>
          <w:left w:val="single" w:sz="12" w:space="0" w:color="4F6228" w:themeColor="accent3" w:themeShade="80"/>
          <w:bottom w:val="single" w:sz="12" w:space="0" w:color="4F6228" w:themeColor="accent3" w:themeShade="80"/>
          <w:right w:val="single" w:sz="12" w:space="0" w:color="4F6228" w:themeColor="accent3" w:themeShade="80"/>
        </w:tblBorders>
        <w:shd w:val="clear" w:color="auto" w:fill="FFFFFF" w:themeFill="background1"/>
        <w:tblCellMar>
          <w:left w:w="142" w:type="dxa"/>
          <w:right w:w="142" w:type="dxa"/>
        </w:tblCellMar>
        <w:tblLook w:val="04A0" w:firstRow="1" w:lastRow="0" w:firstColumn="1" w:lastColumn="0" w:noHBand="0" w:noVBand="1"/>
      </w:tblPr>
      <w:tblGrid>
        <w:gridCol w:w="10349"/>
      </w:tblGrid>
      <w:tr w:rsidR="00A36BA4" w:rsidRPr="00392D42" w:rsidTr="008674EC">
        <w:trPr>
          <w:trHeight w:hRule="exact" w:val="423"/>
        </w:trPr>
        <w:tc>
          <w:tcPr>
            <w:tcW w:w="10349" w:type="dxa"/>
            <w:shd w:val="clear" w:color="auto" w:fill="8DC63F"/>
          </w:tcPr>
          <w:p w:rsidR="00A36BA4" w:rsidRPr="00392D42" w:rsidRDefault="00A36BA4" w:rsidP="008674EC">
            <w:pPr>
              <w:spacing w:before="60" w:after="60" w:line="240" w:lineRule="auto"/>
              <w:ind w:left="-108"/>
              <w:rPr>
                <w:rFonts w:ascii="Arial" w:hAnsi="Arial" w:cs="Arial"/>
                <w:b/>
                <w:sz w:val="24"/>
                <w:szCs w:val="24"/>
              </w:rPr>
            </w:pPr>
            <w:r w:rsidRPr="00392D42">
              <w:rPr>
                <w:rFonts w:ascii="Arial" w:hAnsi="Arial" w:cs="Arial"/>
                <w:b/>
                <w:sz w:val="24"/>
                <w:szCs w:val="24"/>
              </w:rPr>
              <w:t xml:space="preserve">3.4.3 </w:t>
            </w:r>
            <w:r w:rsidRPr="00392D42">
              <w:rPr>
                <w:rFonts w:ascii="Arial" w:hAnsi="Arial" w:cs="Arial"/>
                <w:b/>
                <w:noProof/>
                <w:sz w:val="24"/>
                <w:szCs w:val="24"/>
                <w:lang w:eastAsia="en-GB"/>
              </w:rPr>
              <w:t>Non-COVID-19 studies</w:t>
            </w:r>
          </w:p>
        </w:tc>
      </w:tr>
    </w:tbl>
    <w:p w:rsidR="00A36BA4" w:rsidRDefault="00A36BA4" w:rsidP="0012109F">
      <w:pPr>
        <w:spacing w:after="0"/>
        <w:ind w:left="-426"/>
        <w:jc w:val="both"/>
        <w:rPr>
          <w:rFonts w:ascii="Arial" w:hAnsi="Arial" w:cs="Arial"/>
          <w:noProof/>
          <w:sz w:val="24"/>
          <w:szCs w:val="24"/>
          <w:lang w:eastAsia="en-GB"/>
        </w:rPr>
      </w:pPr>
    </w:p>
    <w:p w:rsidR="001E6D19" w:rsidRPr="00392D42" w:rsidRDefault="001E6D19" w:rsidP="0012109F">
      <w:pPr>
        <w:spacing w:after="0"/>
        <w:ind w:left="-426"/>
        <w:jc w:val="both"/>
        <w:rPr>
          <w:rFonts w:ascii="Arial" w:hAnsi="Arial" w:cs="Arial"/>
          <w:noProof/>
          <w:sz w:val="24"/>
          <w:szCs w:val="24"/>
          <w:lang w:eastAsia="en-GB"/>
        </w:rPr>
      </w:pPr>
      <w:r w:rsidRPr="00392D42">
        <w:rPr>
          <w:rFonts w:ascii="Arial" w:hAnsi="Arial" w:cs="Arial"/>
          <w:noProof/>
          <w:sz w:val="24"/>
          <w:szCs w:val="24"/>
          <w:lang w:eastAsia="en-GB"/>
        </w:rPr>
        <w:t>Patient recruitment into non-COVID related research was unpaused on 22</w:t>
      </w:r>
      <w:r w:rsidRPr="00392D42">
        <w:rPr>
          <w:rFonts w:ascii="Arial" w:hAnsi="Arial" w:cs="Arial"/>
          <w:noProof/>
          <w:sz w:val="24"/>
          <w:szCs w:val="24"/>
          <w:vertAlign w:val="superscript"/>
          <w:lang w:eastAsia="en-GB"/>
        </w:rPr>
        <w:t>nd</w:t>
      </w:r>
      <w:r w:rsidRPr="00392D42">
        <w:rPr>
          <w:rFonts w:ascii="Arial" w:hAnsi="Arial" w:cs="Arial"/>
          <w:noProof/>
          <w:sz w:val="24"/>
          <w:szCs w:val="24"/>
          <w:lang w:eastAsia="en-GB"/>
        </w:rPr>
        <w:t xml:space="preserve"> May 2020.  </w:t>
      </w:r>
    </w:p>
    <w:p w:rsidR="001E6D19" w:rsidRPr="00392D42" w:rsidRDefault="001E6D19" w:rsidP="0012109F">
      <w:pPr>
        <w:spacing w:after="0"/>
        <w:ind w:left="-426"/>
        <w:jc w:val="both"/>
        <w:rPr>
          <w:rFonts w:ascii="Arial" w:hAnsi="Arial" w:cs="Arial"/>
          <w:noProof/>
          <w:sz w:val="24"/>
          <w:szCs w:val="24"/>
          <w:lang w:eastAsia="en-GB"/>
        </w:rPr>
      </w:pPr>
    </w:p>
    <w:p w:rsidR="001E6D19" w:rsidRPr="00392D42" w:rsidRDefault="001E6D19" w:rsidP="0012109F">
      <w:pPr>
        <w:numPr>
          <w:ilvl w:val="0"/>
          <w:numId w:val="15"/>
        </w:numPr>
        <w:spacing w:after="0"/>
        <w:ind w:left="-66"/>
        <w:contextualSpacing/>
        <w:jc w:val="both"/>
        <w:rPr>
          <w:rFonts w:ascii="Arial" w:hAnsi="Arial" w:cs="Arial"/>
          <w:noProof/>
          <w:sz w:val="24"/>
          <w:szCs w:val="24"/>
          <w:lang w:eastAsia="en-GB"/>
        </w:rPr>
      </w:pPr>
      <w:r w:rsidRPr="00392D42">
        <w:rPr>
          <w:rFonts w:ascii="Arial" w:hAnsi="Arial" w:cs="Arial"/>
          <w:noProof/>
          <w:sz w:val="24"/>
          <w:szCs w:val="24"/>
          <w:lang w:eastAsia="en-GB"/>
        </w:rPr>
        <w:t>Since then 4 new patients have been recruited onto trials.</w:t>
      </w:r>
    </w:p>
    <w:p w:rsidR="001E6D19" w:rsidRPr="000377B3" w:rsidRDefault="001E6D19" w:rsidP="0012109F">
      <w:pPr>
        <w:spacing w:after="0"/>
        <w:ind w:left="-66"/>
        <w:contextualSpacing/>
        <w:jc w:val="both"/>
        <w:rPr>
          <w:rFonts w:ascii="Arial" w:hAnsi="Arial" w:cs="Arial"/>
          <w:noProof/>
          <w:sz w:val="20"/>
          <w:szCs w:val="20"/>
          <w:lang w:eastAsia="en-GB"/>
        </w:rPr>
      </w:pPr>
    </w:p>
    <w:p w:rsidR="001E6D19" w:rsidRPr="00392D42" w:rsidRDefault="001E6D19" w:rsidP="001218DD">
      <w:pPr>
        <w:pStyle w:val="ListParagraph"/>
        <w:numPr>
          <w:ilvl w:val="0"/>
          <w:numId w:val="15"/>
        </w:numPr>
        <w:spacing w:after="0"/>
        <w:ind w:left="0"/>
        <w:jc w:val="both"/>
        <w:rPr>
          <w:rFonts w:ascii="Arial" w:hAnsi="Arial" w:cs="Arial"/>
          <w:noProof/>
          <w:sz w:val="24"/>
          <w:szCs w:val="24"/>
          <w:lang w:eastAsia="en-GB"/>
        </w:rPr>
      </w:pPr>
      <w:r w:rsidRPr="00392D42">
        <w:rPr>
          <w:rFonts w:ascii="Arial" w:hAnsi="Arial" w:cs="Arial"/>
          <w:noProof/>
          <w:sz w:val="24"/>
          <w:szCs w:val="24"/>
          <w:lang w:eastAsia="en-GB"/>
        </w:rPr>
        <w:t>New non-COVID studies opening to recruitment was unpaused on 22</w:t>
      </w:r>
      <w:r w:rsidRPr="00392D42">
        <w:rPr>
          <w:rFonts w:ascii="Arial" w:hAnsi="Arial" w:cs="Arial"/>
          <w:noProof/>
          <w:sz w:val="24"/>
          <w:szCs w:val="24"/>
          <w:vertAlign w:val="superscript"/>
          <w:lang w:eastAsia="en-GB"/>
        </w:rPr>
        <w:t>nd</w:t>
      </w:r>
      <w:r w:rsidRPr="00392D42">
        <w:rPr>
          <w:rFonts w:ascii="Arial" w:hAnsi="Arial" w:cs="Arial"/>
          <w:noProof/>
          <w:sz w:val="24"/>
          <w:szCs w:val="24"/>
          <w:lang w:eastAsia="en-GB"/>
        </w:rPr>
        <w:t xml:space="preserve"> May 2020.  </w:t>
      </w:r>
    </w:p>
    <w:p w:rsidR="001E6D19" w:rsidRPr="000377B3" w:rsidRDefault="001E6D19" w:rsidP="0012109F">
      <w:pPr>
        <w:spacing w:after="0"/>
        <w:ind w:left="-66"/>
        <w:jc w:val="both"/>
        <w:rPr>
          <w:rFonts w:ascii="Arial" w:hAnsi="Arial" w:cs="Arial"/>
          <w:noProof/>
          <w:sz w:val="20"/>
          <w:szCs w:val="20"/>
          <w:lang w:eastAsia="en-GB"/>
        </w:rPr>
      </w:pPr>
    </w:p>
    <w:p w:rsidR="001E6D19" w:rsidRPr="00392D42" w:rsidRDefault="001E6D19" w:rsidP="0012109F">
      <w:pPr>
        <w:numPr>
          <w:ilvl w:val="0"/>
          <w:numId w:val="15"/>
        </w:numPr>
        <w:spacing w:after="0"/>
        <w:ind w:left="-66"/>
        <w:contextualSpacing/>
        <w:jc w:val="both"/>
        <w:rPr>
          <w:rFonts w:ascii="Arial" w:hAnsi="Arial" w:cs="Arial"/>
          <w:noProof/>
          <w:sz w:val="24"/>
          <w:szCs w:val="24"/>
          <w:lang w:eastAsia="en-GB"/>
        </w:rPr>
      </w:pPr>
      <w:r w:rsidRPr="00392D42">
        <w:rPr>
          <w:rFonts w:ascii="Arial" w:hAnsi="Arial" w:cs="Arial"/>
          <w:noProof/>
          <w:sz w:val="24"/>
          <w:szCs w:val="24"/>
          <w:lang w:eastAsia="en-GB"/>
        </w:rPr>
        <w:t>123 studies were originally halted, since then the sponsor has closed 2 of these studies.</w:t>
      </w:r>
    </w:p>
    <w:p w:rsidR="001E6D19" w:rsidRPr="000377B3" w:rsidRDefault="001E6D19" w:rsidP="0012109F">
      <w:pPr>
        <w:spacing w:after="0"/>
        <w:ind w:left="-66"/>
        <w:jc w:val="both"/>
        <w:rPr>
          <w:rFonts w:ascii="Arial" w:hAnsi="Arial" w:cs="Arial"/>
          <w:noProof/>
          <w:sz w:val="20"/>
          <w:szCs w:val="20"/>
          <w:lang w:eastAsia="en-GB"/>
        </w:rPr>
      </w:pPr>
    </w:p>
    <w:p w:rsidR="001E6D19" w:rsidRPr="00392D42" w:rsidRDefault="001E6D19" w:rsidP="0012109F">
      <w:pPr>
        <w:numPr>
          <w:ilvl w:val="0"/>
          <w:numId w:val="15"/>
        </w:numPr>
        <w:spacing w:after="0"/>
        <w:ind w:left="-66"/>
        <w:contextualSpacing/>
        <w:jc w:val="both"/>
        <w:rPr>
          <w:rFonts w:ascii="Arial" w:hAnsi="Arial" w:cs="Arial"/>
          <w:noProof/>
          <w:sz w:val="24"/>
          <w:szCs w:val="24"/>
          <w:lang w:eastAsia="en-GB"/>
        </w:rPr>
      </w:pPr>
      <w:r w:rsidRPr="00392D42">
        <w:rPr>
          <w:rFonts w:ascii="Arial" w:hAnsi="Arial" w:cs="Arial"/>
          <w:noProof/>
          <w:sz w:val="24"/>
          <w:szCs w:val="24"/>
          <w:lang w:eastAsia="en-GB"/>
        </w:rPr>
        <w:t>Of the 121 remaining studies, 19 have been unpaused to recruitment which is 15.7%</w:t>
      </w:r>
    </w:p>
    <w:p w:rsidR="001E6D19" w:rsidRPr="000377B3" w:rsidRDefault="001E6D19" w:rsidP="0012109F">
      <w:pPr>
        <w:spacing w:after="0"/>
        <w:ind w:left="-66"/>
        <w:jc w:val="both"/>
        <w:rPr>
          <w:rFonts w:ascii="Arial" w:hAnsi="Arial" w:cs="Arial"/>
          <w:noProof/>
          <w:sz w:val="20"/>
          <w:szCs w:val="20"/>
          <w:lang w:eastAsia="en-GB"/>
        </w:rPr>
      </w:pPr>
    </w:p>
    <w:p w:rsidR="001E6D19" w:rsidRPr="00392D42" w:rsidRDefault="001E6D19" w:rsidP="0012109F">
      <w:pPr>
        <w:numPr>
          <w:ilvl w:val="0"/>
          <w:numId w:val="15"/>
        </w:numPr>
        <w:spacing w:after="0"/>
        <w:ind w:left="-66"/>
        <w:contextualSpacing/>
        <w:jc w:val="both"/>
        <w:rPr>
          <w:rFonts w:ascii="Arial" w:hAnsi="Arial" w:cs="Arial"/>
          <w:noProof/>
          <w:sz w:val="24"/>
          <w:szCs w:val="24"/>
          <w:lang w:eastAsia="en-GB"/>
        </w:rPr>
      </w:pPr>
      <w:r w:rsidRPr="00392D42">
        <w:rPr>
          <w:rFonts w:ascii="Arial" w:hAnsi="Arial" w:cs="Arial"/>
          <w:noProof/>
          <w:sz w:val="24"/>
          <w:szCs w:val="24"/>
          <w:lang w:eastAsia="en-GB"/>
        </w:rPr>
        <w:t>During May 2020 two studies that have been given local site approval that have not been given green light to recruitment by the sponsor.  In total there are ten new studies awaiting initiation by the sponsor.</w:t>
      </w:r>
    </w:p>
    <w:p w:rsidR="00CD0AF5" w:rsidRPr="00392D42" w:rsidRDefault="00CD0AF5" w:rsidP="00CD0AF5">
      <w:pPr>
        <w:spacing w:after="0"/>
        <w:ind w:left="-426"/>
        <w:jc w:val="both"/>
        <w:rPr>
          <w:rFonts w:ascii="Arial" w:hAnsi="Arial" w:cs="Arial"/>
          <w:b/>
          <w:sz w:val="24"/>
          <w:szCs w:val="24"/>
          <w:highlight w:val="yellow"/>
        </w:rPr>
      </w:pPr>
    </w:p>
    <w:tbl>
      <w:tblPr>
        <w:tblW w:w="10349" w:type="dxa"/>
        <w:tblInd w:w="-318" w:type="dxa"/>
        <w:tblBorders>
          <w:top w:val="single" w:sz="12" w:space="0" w:color="4F6228" w:themeColor="accent3" w:themeShade="80"/>
          <w:left w:val="single" w:sz="12" w:space="0" w:color="4F6228" w:themeColor="accent3" w:themeShade="80"/>
          <w:bottom w:val="single" w:sz="12" w:space="0" w:color="4F6228" w:themeColor="accent3" w:themeShade="80"/>
          <w:right w:val="single" w:sz="12" w:space="0" w:color="4F6228" w:themeColor="accent3" w:themeShade="80"/>
        </w:tblBorders>
        <w:shd w:val="clear" w:color="auto" w:fill="FFFFFF" w:themeFill="background1"/>
        <w:tblLook w:val="04A0" w:firstRow="1" w:lastRow="0" w:firstColumn="1" w:lastColumn="0" w:noHBand="0" w:noVBand="1"/>
      </w:tblPr>
      <w:tblGrid>
        <w:gridCol w:w="10349"/>
      </w:tblGrid>
      <w:tr w:rsidR="00C23712" w:rsidRPr="00392D42" w:rsidTr="00CD0AF5">
        <w:trPr>
          <w:trHeight w:hRule="exact" w:val="477"/>
        </w:trPr>
        <w:tc>
          <w:tcPr>
            <w:tcW w:w="10349" w:type="dxa"/>
            <w:shd w:val="clear" w:color="auto" w:fill="8DC63F"/>
          </w:tcPr>
          <w:p w:rsidR="00C23712" w:rsidRPr="00392D42" w:rsidRDefault="0085699D" w:rsidP="00CD0AF5">
            <w:pPr>
              <w:spacing w:before="60" w:after="60" w:line="240" w:lineRule="auto"/>
              <w:ind w:left="-108"/>
              <w:rPr>
                <w:rFonts w:ascii="Arial" w:hAnsi="Arial" w:cs="Arial"/>
                <w:b/>
                <w:sz w:val="24"/>
                <w:szCs w:val="24"/>
              </w:rPr>
            </w:pPr>
            <w:r w:rsidRPr="00392D42">
              <w:rPr>
                <w:rFonts w:ascii="Arial" w:hAnsi="Arial" w:cs="Arial"/>
                <w:b/>
                <w:sz w:val="24"/>
                <w:szCs w:val="24"/>
              </w:rPr>
              <w:t>3.4</w:t>
            </w:r>
            <w:r w:rsidR="00C23712" w:rsidRPr="00392D42">
              <w:rPr>
                <w:rFonts w:ascii="Arial" w:hAnsi="Arial" w:cs="Arial"/>
                <w:b/>
                <w:sz w:val="24"/>
                <w:szCs w:val="24"/>
              </w:rPr>
              <w:t xml:space="preserve">.4 </w:t>
            </w:r>
            <w:r w:rsidR="00C23712" w:rsidRPr="00392D42">
              <w:rPr>
                <w:rFonts w:ascii="Arial" w:hAnsi="Arial" w:cs="Arial"/>
                <w:b/>
                <w:noProof/>
                <w:sz w:val="24"/>
                <w:szCs w:val="24"/>
                <w:lang w:eastAsia="en-GB"/>
              </w:rPr>
              <w:t>Study Set-up Times</w:t>
            </w:r>
          </w:p>
        </w:tc>
      </w:tr>
    </w:tbl>
    <w:p w:rsidR="00C23712" w:rsidRPr="00392D42" w:rsidRDefault="00C23712" w:rsidP="00CD0AF5">
      <w:pPr>
        <w:spacing w:after="0"/>
        <w:ind w:left="-426"/>
        <w:jc w:val="both"/>
        <w:rPr>
          <w:rFonts w:ascii="Arial" w:hAnsi="Arial" w:cs="Arial"/>
          <w:b/>
          <w:sz w:val="24"/>
          <w:szCs w:val="24"/>
          <w:highlight w:val="yellow"/>
        </w:rPr>
      </w:pPr>
    </w:p>
    <w:p w:rsidR="001E6D19" w:rsidRPr="00392D42" w:rsidRDefault="001E6D19" w:rsidP="0012109F">
      <w:pPr>
        <w:spacing w:after="0"/>
        <w:ind w:left="-426"/>
        <w:jc w:val="both"/>
        <w:rPr>
          <w:rFonts w:ascii="Arial" w:hAnsi="Arial" w:cs="Arial"/>
          <w:bCs/>
          <w:sz w:val="24"/>
          <w:szCs w:val="24"/>
        </w:rPr>
      </w:pPr>
      <w:r w:rsidRPr="00392D42">
        <w:rPr>
          <w:rFonts w:ascii="Arial" w:hAnsi="Arial" w:cs="Arial"/>
          <w:noProof/>
          <w:sz w:val="24"/>
          <w:szCs w:val="24"/>
          <w:lang w:eastAsia="en-GB"/>
        </w:rPr>
        <w:t xml:space="preserve">We received notification from the Department of Health that in light of the Covid-19 pandemic they are </w:t>
      </w:r>
      <w:r w:rsidRPr="00392D42">
        <w:rPr>
          <w:rFonts w:ascii="Arial" w:hAnsi="Arial" w:cs="Arial"/>
          <w:bCs/>
          <w:sz w:val="24"/>
          <w:szCs w:val="24"/>
        </w:rPr>
        <w:t>postponing the submission and publication deadline for the Performance in Initiating and Delivering (PID) Q4 19/20 reporting exercise. They will keep future reporting deadlines under review and when appropriate they will set a new deadline for reporting of all outstanding data in consultation with NHS R&amp;D and NHS England and NHS Improvement.  Data for Q3 19/20 has still not been received.</w:t>
      </w:r>
    </w:p>
    <w:p w:rsidR="00C23712" w:rsidRPr="00392D42" w:rsidRDefault="00C23712" w:rsidP="00787BFA">
      <w:pPr>
        <w:autoSpaceDE w:val="0"/>
        <w:autoSpaceDN w:val="0"/>
        <w:adjustRightInd w:val="0"/>
        <w:spacing w:after="0" w:line="240" w:lineRule="auto"/>
        <w:ind w:left="-426"/>
        <w:jc w:val="both"/>
        <w:rPr>
          <w:rFonts w:ascii="Arial" w:eastAsia="Calibri" w:hAnsi="Arial" w:cs="Arial"/>
          <w:b/>
          <w:bCs/>
          <w:sz w:val="24"/>
          <w:szCs w:val="24"/>
          <w:highlight w:val="yellow"/>
        </w:rPr>
      </w:pPr>
    </w:p>
    <w:p w:rsidR="0012109F" w:rsidRPr="00EC19F3" w:rsidRDefault="0012109F" w:rsidP="00787BFA">
      <w:pPr>
        <w:autoSpaceDE w:val="0"/>
        <w:autoSpaceDN w:val="0"/>
        <w:adjustRightInd w:val="0"/>
        <w:spacing w:after="0" w:line="240" w:lineRule="auto"/>
        <w:ind w:left="-426"/>
        <w:jc w:val="both"/>
        <w:rPr>
          <w:rFonts w:ascii="Arial" w:eastAsia="Calibri" w:hAnsi="Arial" w:cs="Arial"/>
          <w:b/>
          <w:bCs/>
          <w:sz w:val="24"/>
          <w:szCs w:val="24"/>
          <w:highlight w:val="yellow"/>
        </w:rPr>
      </w:pPr>
    </w:p>
    <w:p w:rsidR="002E1374" w:rsidRDefault="002E1374" w:rsidP="00603DCF">
      <w:pPr>
        <w:spacing w:after="0" w:line="240" w:lineRule="auto"/>
        <w:ind w:left="-426"/>
        <w:jc w:val="both"/>
        <w:rPr>
          <w:rFonts w:ascii="Arial" w:hAnsi="Arial" w:cs="Arial"/>
          <w:b/>
          <w:sz w:val="32"/>
          <w:szCs w:val="24"/>
        </w:rPr>
      </w:pPr>
    </w:p>
    <w:p w:rsidR="002E1374" w:rsidRDefault="002E1374" w:rsidP="00603DCF">
      <w:pPr>
        <w:spacing w:after="0" w:line="240" w:lineRule="auto"/>
        <w:ind w:left="-426"/>
        <w:jc w:val="both"/>
        <w:rPr>
          <w:rFonts w:ascii="Arial" w:hAnsi="Arial" w:cs="Arial"/>
          <w:b/>
          <w:sz w:val="32"/>
          <w:szCs w:val="24"/>
        </w:rPr>
      </w:pPr>
    </w:p>
    <w:p w:rsidR="002E1374" w:rsidRDefault="002E1374" w:rsidP="00603DCF">
      <w:pPr>
        <w:spacing w:after="0" w:line="240" w:lineRule="auto"/>
        <w:ind w:left="-426"/>
        <w:jc w:val="both"/>
        <w:rPr>
          <w:rFonts w:ascii="Arial" w:hAnsi="Arial" w:cs="Arial"/>
          <w:b/>
          <w:sz w:val="32"/>
          <w:szCs w:val="24"/>
        </w:rPr>
      </w:pPr>
    </w:p>
    <w:p w:rsidR="002E1374" w:rsidRDefault="002E1374" w:rsidP="00603DCF">
      <w:pPr>
        <w:spacing w:after="0" w:line="240" w:lineRule="auto"/>
        <w:ind w:left="-426"/>
        <w:jc w:val="both"/>
        <w:rPr>
          <w:rFonts w:ascii="Arial" w:hAnsi="Arial" w:cs="Arial"/>
          <w:b/>
          <w:sz w:val="32"/>
          <w:szCs w:val="24"/>
        </w:rPr>
      </w:pPr>
    </w:p>
    <w:p w:rsidR="002E1374" w:rsidRDefault="002E1374" w:rsidP="00603DCF">
      <w:pPr>
        <w:spacing w:after="0" w:line="240" w:lineRule="auto"/>
        <w:ind w:left="-426"/>
        <w:jc w:val="both"/>
        <w:rPr>
          <w:rFonts w:ascii="Arial" w:hAnsi="Arial" w:cs="Arial"/>
          <w:b/>
          <w:sz w:val="32"/>
          <w:szCs w:val="24"/>
        </w:rPr>
      </w:pPr>
    </w:p>
    <w:p w:rsidR="002E1374" w:rsidRDefault="002E1374" w:rsidP="00603DCF">
      <w:pPr>
        <w:spacing w:after="0" w:line="240" w:lineRule="auto"/>
        <w:ind w:left="-426"/>
        <w:jc w:val="both"/>
        <w:rPr>
          <w:rFonts w:ascii="Arial" w:hAnsi="Arial" w:cs="Arial"/>
          <w:b/>
          <w:sz w:val="32"/>
          <w:szCs w:val="24"/>
        </w:rPr>
      </w:pPr>
    </w:p>
    <w:p w:rsidR="006A4DB6" w:rsidRDefault="0085699D" w:rsidP="00603DCF">
      <w:pPr>
        <w:spacing w:after="0" w:line="240" w:lineRule="auto"/>
        <w:ind w:left="-426"/>
        <w:jc w:val="both"/>
        <w:rPr>
          <w:rFonts w:ascii="Arial" w:hAnsi="Arial" w:cs="Arial"/>
          <w:b/>
          <w:sz w:val="32"/>
          <w:szCs w:val="24"/>
        </w:rPr>
      </w:pPr>
      <w:r>
        <w:rPr>
          <w:rFonts w:ascii="Arial" w:hAnsi="Arial" w:cs="Arial"/>
          <w:b/>
          <w:sz w:val="32"/>
          <w:szCs w:val="24"/>
        </w:rPr>
        <w:t>3.5</w:t>
      </w:r>
      <w:r w:rsidR="006A4DB6" w:rsidRPr="00AC7BB5">
        <w:rPr>
          <w:rFonts w:ascii="Arial" w:hAnsi="Arial" w:cs="Arial"/>
          <w:b/>
          <w:sz w:val="32"/>
          <w:szCs w:val="24"/>
        </w:rPr>
        <w:t xml:space="preserve"> Workforce</w:t>
      </w:r>
    </w:p>
    <w:p w:rsidR="00D923BD" w:rsidRDefault="00D923BD" w:rsidP="00603DCF">
      <w:pPr>
        <w:spacing w:after="0" w:line="240" w:lineRule="auto"/>
        <w:ind w:left="-426"/>
        <w:jc w:val="both"/>
        <w:rPr>
          <w:rFonts w:ascii="Arial" w:hAnsi="Arial" w:cs="Arial"/>
          <w:b/>
          <w:sz w:val="32"/>
          <w:szCs w:val="24"/>
        </w:rPr>
      </w:pPr>
    </w:p>
    <w:tbl>
      <w:tblPr>
        <w:tblStyle w:val="TableGrid38"/>
        <w:tblW w:w="0" w:type="auto"/>
        <w:tblInd w:w="-318" w:type="dxa"/>
        <w:tblLook w:val="04A0" w:firstRow="1" w:lastRow="0" w:firstColumn="1" w:lastColumn="0" w:noHBand="0" w:noVBand="1"/>
      </w:tblPr>
      <w:tblGrid>
        <w:gridCol w:w="9657"/>
      </w:tblGrid>
      <w:tr w:rsidR="00AC7BB5" w:rsidRPr="00AC7BB5" w:rsidTr="001C3A18">
        <w:trPr>
          <w:trHeight w:val="412"/>
        </w:trPr>
        <w:tc>
          <w:tcPr>
            <w:tcW w:w="9657" w:type="dxa"/>
            <w:shd w:val="clear" w:color="auto" w:fill="92D050"/>
            <w:vAlign w:val="center"/>
          </w:tcPr>
          <w:p w:rsidR="00AC7BB5" w:rsidRPr="00AC7BB5" w:rsidRDefault="0085699D" w:rsidP="00AC7BB5">
            <w:r>
              <w:rPr>
                <w:rFonts w:ascii="Arial" w:hAnsi="Arial" w:cs="Arial"/>
                <w:b/>
                <w:sz w:val="24"/>
                <w:szCs w:val="24"/>
              </w:rPr>
              <w:t>3.5</w:t>
            </w:r>
            <w:r w:rsidR="00AC7BB5" w:rsidRPr="00AC7BB5">
              <w:rPr>
                <w:rFonts w:ascii="Arial" w:hAnsi="Arial" w:cs="Arial"/>
                <w:b/>
                <w:sz w:val="24"/>
                <w:szCs w:val="24"/>
              </w:rPr>
              <w:t>.1 Workforce Overview</w:t>
            </w:r>
          </w:p>
        </w:tc>
      </w:tr>
    </w:tbl>
    <w:p w:rsidR="00AC7BB5" w:rsidRPr="00AC7BB5" w:rsidRDefault="00AC7BB5" w:rsidP="00AC7BB5">
      <w:pPr>
        <w:spacing w:after="0"/>
      </w:pPr>
    </w:p>
    <w:p w:rsidR="00AC7BB5" w:rsidRPr="00AC7BB5" w:rsidRDefault="00AC7BB5" w:rsidP="0012109F">
      <w:pPr>
        <w:spacing w:after="0" w:line="240" w:lineRule="auto"/>
        <w:ind w:left="-426"/>
        <w:rPr>
          <w:rFonts w:ascii="Arial" w:hAnsi="Arial" w:cs="Arial"/>
          <w:color w:val="002500"/>
          <w:sz w:val="24"/>
          <w:szCs w:val="24"/>
        </w:rPr>
      </w:pPr>
      <w:r w:rsidRPr="00AC7BB5">
        <w:rPr>
          <w:rFonts w:ascii="Arial" w:hAnsi="Arial" w:cs="Arial"/>
          <w:color w:val="002500"/>
          <w:sz w:val="24"/>
          <w:szCs w:val="24"/>
        </w:rPr>
        <w:t xml:space="preserve">This table presents an overview of staff numbers and movement by month. </w:t>
      </w:r>
    </w:p>
    <w:p w:rsidR="00AC7BB5" w:rsidRDefault="00AC7BB5" w:rsidP="00AC7BB5">
      <w:pPr>
        <w:spacing w:after="0"/>
      </w:pPr>
      <w:r w:rsidRPr="00AC7BB5">
        <w:rPr>
          <w:noProof/>
          <w:lang w:eastAsia="en-GB"/>
        </w:rPr>
        <w:drawing>
          <wp:inline distT="0" distB="0" distL="0" distR="0" wp14:anchorId="237629F5" wp14:editId="07346477">
            <wp:extent cx="5731510" cy="2995571"/>
            <wp:effectExtent l="0" t="0" r="254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a:stretch>
                      <a:fillRect/>
                    </a:stretch>
                  </pic:blipFill>
                  <pic:spPr>
                    <a:xfrm>
                      <a:off x="0" y="0"/>
                      <a:ext cx="5731510" cy="2995571"/>
                    </a:xfrm>
                    <a:prstGeom prst="rect">
                      <a:avLst/>
                    </a:prstGeom>
                  </pic:spPr>
                </pic:pic>
              </a:graphicData>
            </a:graphic>
          </wp:inline>
        </w:drawing>
      </w:r>
    </w:p>
    <w:p w:rsidR="00AC7BB5" w:rsidRPr="00AC7BB5" w:rsidRDefault="00AC7BB5" w:rsidP="00AC7BB5">
      <w:pPr>
        <w:spacing w:after="0"/>
      </w:pPr>
    </w:p>
    <w:p w:rsidR="00AC7BB5" w:rsidRPr="00AC7BB5" w:rsidRDefault="00AC7BB5" w:rsidP="00AC7BB5">
      <w:pPr>
        <w:spacing w:after="0"/>
        <w:rPr>
          <w:sz w:val="12"/>
        </w:rPr>
      </w:pPr>
    </w:p>
    <w:tbl>
      <w:tblPr>
        <w:tblStyle w:val="TableGrid38"/>
        <w:tblW w:w="0" w:type="auto"/>
        <w:tblLook w:val="04A0" w:firstRow="1" w:lastRow="0" w:firstColumn="1" w:lastColumn="0" w:noHBand="0" w:noVBand="1"/>
      </w:tblPr>
      <w:tblGrid>
        <w:gridCol w:w="9723"/>
      </w:tblGrid>
      <w:tr w:rsidR="00AC7BB5" w:rsidRPr="00AC7BB5" w:rsidTr="001C3A18">
        <w:trPr>
          <w:trHeight w:val="485"/>
        </w:trPr>
        <w:tc>
          <w:tcPr>
            <w:tcW w:w="9723" w:type="dxa"/>
            <w:shd w:val="clear" w:color="auto" w:fill="92D050"/>
            <w:vAlign w:val="center"/>
          </w:tcPr>
          <w:p w:rsidR="00AC7BB5" w:rsidRPr="00AC7BB5" w:rsidRDefault="0085699D" w:rsidP="00AC7BB5">
            <w:r>
              <w:rPr>
                <w:rFonts w:ascii="Arial" w:hAnsi="Arial" w:cs="Arial"/>
                <w:b/>
                <w:sz w:val="24"/>
                <w:szCs w:val="24"/>
              </w:rPr>
              <w:t>3.5</w:t>
            </w:r>
            <w:r w:rsidR="00AC7BB5" w:rsidRPr="00AC7BB5">
              <w:rPr>
                <w:rFonts w:ascii="Arial" w:hAnsi="Arial" w:cs="Arial"/>
                <w:b/>
                <w:sz w:val="24"/>
                <w:szCs w:val="24"/>
              </w:rPr>
              <w:t>.2 Sickness Absence</w:t>
            </w:r>
          </w:p>
        </w:tc>
      </w:tr>
    </w:tbl>
    <w:p w:rsidR="00AC7BB5" w:rsidRPr="00AC7BB5" w:rsidRDefault="00AC7BB5" w:rsidP="00AC7BB5">
      <w:pPr>
        <w:spacing w:after="0" w:line="240" w:lineRule="auto"/>
        <w:jc w:val="both"/>
        <w:rPr>
          <w:rFonts w:ascii="Arial" w:hAnsi="Arial" w:cs="Arial"/>
          <w:sz w:val="24"/>
          <w:szCs w:val="24"/>
          <w:u w:val="single"/>
        </w:rPr>
      </w:pPr>
    </w:p>
    <w:p w:rsidR="00AC7BB5" w:rsidRPr="00AC7BB5" w:rsidRDefault="00AC7BB5" w:rsidP="00AC7BB5">
      <w:pPr>
        <w:spacing w:after="0" w:line="240" w:lineRule="auto"/>
        <w:jc w:val="both"/>
        <w:rPr>
          <w:rFonts w:ascii="Arial" w:hAnsi="Arial" w:cs="Arial"/>
          <w:sz w:val="24"/>
          <w:szCs w:val="24"/>
          <w:u w:val="single"/>
        </w:rPr>
      </w:pPr>
      <w:r w:rsidRPr="00AC7BB5">
        <w:rPr>
          <w:rFonts w:ascii="Arial" w:hAnsi="Arial" w:cs="Arial"/>
          <w:sz w:val="24"/>
          <w:szCs w:val="24"/>
          <w:u w:val="single"/>
        </w:rPr>
        <w:t>Trust Level Sickness Absence Rolling 12m</w:t>
      </w:r>
      <w:r>
        <w:rPr>
          <w:rFonts w:ascii="Arial" w:hAnsi="Arial" w:cs="Arial"/>
          <w:sz w:val="24"/>
          <w:szCs w:val="24"/>
          <w:u w:val="single"/>
        </w:rPr>
        <w:t>onth</w:t>
      </w:r>
    </w:p>
    <w:p w:rsidR="00AC7BB5" w:rsidRPr="00AC7BB5" w:rsidRDefault="00AC7BB5" w:rsidP="00AC7BB5">
      <w:pPr>
        <w:spacing w:after="0"/>
      </w:pPr>
    </w:p>
    <w:p w:rsidR="00AC7BB5" w:rsidRPr="004B3B11" w:rsidRDefault="00AC7BB5" w:rsidP="001C3A18">
      <w:pPr>
        <w:spacing w:after="0"/>
        <w:jc w:val="both"/>
        <w:rPr>
          <w:rFonts w:ascii="Arial" w:hAnsi="Arial" w:cs="Arial"/>
          <w:sz w:val="24"/>
        </w:rPr>
      </w:pPr>
      <w:r w:rsidRPr="004B3B11">
        <w:rPr>
          <w:rFonts w:ascii="Arial" w:hAnsi="Arial" w:cs="Arial"/>
          <w:sz w:val="24"/>
        </w:rPr>
        <w:t>The graph below shows the 12 month rolling sickness absence perce</w:t>
      </w:r>
      <w:r w:rsidR="00E139B3" w:rsidRPr="004B3B11">
        <w:rPr>
          <w:rFonts w:ascii="Arial" w:hAnsi="Arial" w:cs="Arial"/>
          <w:sz w:val="24"/>
        </w:rPr>
        <w:t>ntages against the new Trust</w:t>
      </w:r>
      <w:r w:rsidRPr="004B3B11">
        <w:rPr>
          <w:rFonts w:ascii="Arial" w:hAnsi="Arial" w:cs="Arial"/>
          <w:sz w:val="24"/>
        </w:rPr>
        <w:t xml:space="preserve"> target of 4%; it also shows a comparison against the previous 2 years. </w:t>
      </w:r>
    </w:p>
    <w:p w:rsidR="00AC7BB5" w:rsidRPr="004B3B11" w:rsidRDefault="00AC7BB5" w:rsidP="001C3A18">
      <w:pPr>
        <w:spacing w:after="0"/>
        <w:jc w:val="both"/>
        <w:rPr>
          <w:rFonts w:ascii="Arial" w:hAnsi="Arial" w:cs="Arial"/>
          <w:sz w:val="24"/>
        </w:rPr>
      </w:pPr>
    </w:p>
    <w:p w:rsidR="00AC7BB5" w:rsidRDefault="00AC7BB5" w:rsidP="001C3A18">
      <w:pPr>
        <w:spacing w:after="0"/>
        <w:jc w:val="both"/>
        <w:rPr>
          <w:rFonts w:ascii="Arial" w:hAnsi="Arial" w:cs="Arial"/>
          <w:sz w:val="24"/>
        </w:rPr>
      </w:pPr>
      <w:r w:rsidRPr="004B3B11">
        <w:rPr>
          <w:rFonts w:ascii="Arial" w:hAnsi="Arial" w:cs="Arial"/>
          <w:sz w:val="24"/>
        </w:rPr>
        <w:t>The Trust’s 12 month rolling sickness absence for May 2020 is at 4.55%; this is a slight increase from April’s figure of 4.49% and an in month increase</w:t>
      </w:r>
      <w:r w:rsidR="008B0218" w:rsidRPr="004B3B11">
        <w:rPr>
          <w:rFonts w:ascii="Arial" w:hAnsi="Arial" w:cs="Arial"/>
          <w:sz w:val="24"/>
        </w:rPr>
        <w:t>,</w:t>
      </w:r>
      <w:r w:rsidRPr="004B3B11">
        <w:rPr>
          <w:rFonts w:ascii="Arial" w:hAnsi="Arial" w:cs="Arial"/>
          <w:sz w:val="24"/>
        </w:rPr>
        <w:t xml:space="preserve"> in comparison to the previous two years. </w:t>
      </w:r>
    </w:p>
    <w:p w:rsidR="004B3B11" w:rsidRPr="004B3B11" w:rsidRDefault="004B3B11" w:rsidP="00AC7BB5">
      <w:pPr>
        <w:spacing w:after="0"/>
        <w:rPr>
          <w:rFonts w:ascii="Arial" w:hAnsi="Arial" w:cs="Arial"/>
          <w:sz w:val="24"/>
        </w:rPr>
      </w:pPr>
    </w:p>
    <w:p w:rsidR="00AC7BB5" w:rsidRPr="00AC7BB5" w:rsidRDefault="00AC7BB5" w:rsidP="00AC7BB5">
      <w:pPr>
        <w:spacing w:after="0"/>
      </w:pPr>
      <w:r w:rsidRPr="00AC7BB5">
        <w:rPr>
          <w:noProof/>
          <w:lang w:eastAsia="en-GB"/>
        </w:rPr>
        <w:lastRenderedPageBreak/>
        <w:drawing>
          <wp:inline distT="0" distB="0" distL="0" distR="0" wp14:anchorId="4BAEBF47" wp14:editId="09ECDB64">
            <wp:extent cx="5672666" cy="2336800"/>
            <wp:effectExtent l="0" t="0" r="23495" b="25400"/>
            <wp:docPr id="35" name="Chart 35"/>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AC7BB5" w:rsidRDefault="00AC7BB5" w:rsidP="00AC7BB5">
      <w:pPr>
        <w:spacing w:after="0" w:line="240" w:lineRule="auto"/>
        <w:jc w:val="both"/>
        <w:rPr>
          <w:rFonts w:ascii="Arial" w:hAnsi="Arial" w:cs="Arial"/>
          <w:sz w:val="24"/>
          <w:szCs w:val="24"/>
          <w:u w:val="single"/>
        </w:rPr>
      </w:pPr>
    </w:p>
    <w:p w:rsidR="00AC7BB5" w:rsidRPr="00AC7BB5" w:rsidRDefault="00AC7BB5" w:rsidP="00AC7BB5">
      <w:pPr>
        <w:spacing w:after="0" w:line="240" w:lineRule="auto"/>
        <w:jc w:val="both"/>
        <w:rPr>
          <w:rFonts w:ascii="Arial" w:hAnsi="Arial" w:cs="Arial"/>
          <w:sz w:val="24"/>
          <w:szCs w:val="24"/>
          <w:u w:val="single"/>
        </w:rPr>
      </w:pPr>
      <w:r w:rsidRPr="00AC7BB5">
        <w:rPr>
          <w:rFonts w:ascii="Arial" w:hAnsi="Arial" w:cs="Arial"/>
          <w:sz w:val="24"/>
          <w:szCs w:val="24"/>
          <w:u w:val="single"/>
        </w:rPr>
        <w:t>Directorate / Corporate Service Level</w:t>
      </w:r>
    </w:p>
    <w:p w:rsidR="00AC7BB5" w:rsidRPr="00AC7BB5" w:rsidRDefault="00AC7BB5" w:rsidP="00AC7BB5">
      <w:pPr>
        <w:spacing w:after="0"/>
      </w:pPr>
    </w:p>
    <w:p w:rsidR="00AC7BB5" w:rsidRPr="00AC7BB5" w:rsidRDefault="00AC7BB5" w:rsidP="00AC7BB5">
      <w:pPr>
        <w:spacing w:after="0" w:line="240" w:lineRule="auto"/>
        <w:jc w:val="both"/>
        <w:rPr>
          <w:rFonts w:ascii="Arial" w:hAnsi="Arial" w:cs="Arial"/>
          <w:sz w:val="24"/>
          <w:szCs w:val="24"/>
        </w:rPr>
      </w:pPr>
      <w:r w:rsidRPr="00AC7BB5">
        <w:rPr>
          <w:rFonts w:ascii="Arial" w:hAnsi="Arial" w:cs="Arial"/>
          <w:sz w:val="24"/>
          <w:szCs w:val="24"/>
        </w:rPr>
        <w:t>Sickness absence per month and Directorate:</w:t>
      </w:r>
    </w:p>
    <w:p w:rsidR="00AC7BB5" w:rsidRPr="00AC7BB5" w:rsidRDefault="00AC7BB5" w:rsidP="00AC7BB5">
      <w:pPr>
        <w:spacing w:after="0"/>
      </w:pPr>
    </w:p>
    <w:p w:rsidR="00AC7BB5" w:rsidRPr="00AC7BB5" w:rsidRDefault="00AC7BB5" w:rsidP="00AC7BB5">
      <w:r w:rsidRPr="00AC7BB5">
        <w:rPr>
          <w:noProof/>
          <w:lang w:eastAsia="en-GB"/>
        </w:rPr>
        <w:drawing>
          <wp:inline distT="0" distB="0" distL="0" distR="0" wp14:anchorId="5EA94193" wp14:editId="1E4591BA">
            <wp:extent cx="5899150" cy="1540963"/>
            <wp:effectExtent l="0" t="0" r="6350" b="254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2"/>
                    <a:stretch>
                      <a:fillRect/>
                    </a:stretch>
                  </pic:blipFill>
                  <pic:spPr>
                    <a:xfrm>
                      <a:off x="0" y="0"/>
                      <a:ext cx="5896537" cy="1540280"/>
                    </a:xfrm>
                    <a:prstGeom prst="rect">
                      <a:avLst/>
                    </a:prstGeom>
                  </pic:spPr>
                </pic:pic>
              </a:graphicData>
            </a:graphic>
          </wp:inline>
        </w:drawing>
      </w:r>
    </w:p>
    <w:p w:rsidR="00392D42" w:rsidRDefault="00392D42" w:rsidP="00AC7BB5">
      <w:pPr>
        <w:spacing w:after="0"/>
        <w:rPr>
          <w:rFonts w:ascii="Arial" w:hAnsi="Arial" w:cs="Arial"/>
          <w:sz w:val="24"/>
          <w:szCs w:val="24"/>
        </w:rPr>
      </w:pPr>
    </w:p>
    <w:p w:rsidR="00AC7BB5" w:rsidRDefault="00392D42" w:rsidP="00AC7BB5">
      <w:pPr>
        <w:spacing w:after="0"/>
        <w:rPr>
          <w:rFonts w:ascii="Arial" w:hAnsi="Arial" w:cs="Arial"/>
          <w:sz w:val="24"/>
          <w:szCs w:val="24"/>
        </w:rPr>
      </w:pPr>
      <w:r>
        <w:rPr>
          <w:rFonts w:ascii="Arial" w:hAnsi="Arial" w:cs="Arial"/>
          <w:sz w:val="24"/>
          <w:szCs w:val="24"/>
        </w:rPr>
        <w:t xml:space="preserve">The charts below show the sickness absence figures </w:t>
      </w:r>
      <w:r w:rsidR="001C3A18">
        <w:rPr>
          <w:rFonts w:ascii="Arial" w:hAnsi="Arial" w:cs="Arial"/>
          <w:sz w:val="24"/>
          <w:szCs w:val="24"/>
        </w:rPr>
        <w:t>for 2019 and 2020 for Nursing and Admin and C</w:t>
      </w:r>
      <w:r>
        <w:rPr>
          <w:rFonts w:ascii="Arial" w:hAnsi="Arial" w:cs="Arial"/>
          <w:sz w:val="24"/>
          <w:szCs w:val="24"/>
        </w:rPr>
        <w:t>lerical</w:t>
      </w:r>
      <w:r w:rsidR="001C3A18">
        <w:rPr>
          <w:rFonts w:ascii="Arial" w:hAnsi="Arial" w:cs="Arial"/>
          <w:sz w:val="24"/>
          <w:szCs w:val="24"/>
        </w:rPr>
        <w:t>.</w:t>
      </w:r>
    </w:p>
    <w:p w:rsidR="00392D42" w:rsidRDefault="00392D42" w:rsidP="00AC7BB5">
      <w:pPr>
        <w:spacing w:after="0"/>
        <w:rPr>
          <w:rFonts w:ascii="Arial" w:hAnsi="Arial" w:cs="Arial"/>
          <w:sz w:val="24"/>
          <w:szCs w:val="24"/>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644"/>
        <w:gridCol w:w="4962"/>
      </w:tblGrid>
      <w:tr w:rsidR="00392D42" w:rsidRPr="00392D42" w:rsidTr="00A36BA4">
        <w:tc>
          <w:tcPr>
            <w:tcW w:w="4644" w:type="dxa"/>
          </w:tcPr>
          <w:p w:rsidR="00392D42" w:rsidRPr="00392D42" w:rsidRDefault="00392D42" w:rsidP="00AC7BB5">
            <w:pPr>
              <w:rPr>
                <w:rFonts w:ascii="Arial" w:hAnsi="Arial" w:cs="Arial"/>
                <w:sz w:val="24"/>
                <w:szCs w:val="24"/>
              </w:rPr>
            </w:pPr>
            <w:r w:rsidRPr="00392D42">
              <w:rPr>
                <w:rFonts w:ascii="Arial" w:hAnsi="Arial" w:cs="Arial"/>
                <w:sz w:val="24"/>
                <w:szCs w:val="24"/>
              </w:rPr>
              <w:t>Nursing Sickness Absence</w:t>
            </w:r>
          </w:p>
        </w:tc>
        <w:tc>
          <w:tcPr>
            <w:tcW w:w="4962" w:type="dxa"/>
          </w:tcPr>
          <w:p w:rsidR="00392D42" w:rsidRPr="00392D42" w:rsidRDefault="001C3A18" w:rsidP="00392D42">
            <w:pPr>
              <w:rPr>
                <w:rFonts w:ascii="Arial" w:hAnsi="Arial" w:cs="Arial"/>
                <w:sz w:val="24"/>
                <w:szCs w:val="24"/>
              </w:rPr>
            </w:pPr>
            <w:r>
              <w:rPr>
                <w:rFonts w:ascii="Arial" w:hAnsi="Arial" w:cs="Arial"/>
                <w:sz w:val="24"/>
                <w:szCs w:val="24"/>
              </w:rPr>
              <w:t>Admin &amp; C</w:t>
            </w:r>
            <w:r w:rsidR="00392D42" w:rsidRPr="00392D42">
              <w:rPr>
                <w:rFonts w:ascii="Arial" w:hAnsi="Arial" w:cs="Arial"/>
                <w:sz w:val="24"/>
                <w:szCs w:val="24"/>
              </w:rPr>
              <w:t>lerical sickness absence</w:t>
            </w:r>
          </w:p>
          <w:p w:rsidR="00392D42" w:rsidRPr="00392D42" w:rsidRDefault="00392D42" w:rsidP="00AC7BB5">
            <w:pPr>
              <w:rPr>
                <w:rFonts w:ascii="Arial" w:hAnsi="Arial" w:cs="Arial"/>
                <w:sz w:val="24"/>
                <w:szCs w:val="24"/>
              </w:rPr>
            </w:pPr>
          </w:p>
        </w:tc>
      </w:tr>
      <w:tr w:rsidR="00392D42" w:rsidTr="00A36BA4">
        <w:tc>
          <w:tcPr>
            <w:tcW w:w="4644" w:type="dxa"/>
          </w:tcPr>
          <w:p w:rsidR="00392D42" w:rsidRDefault="00392D42" w:rsidP="00AC7BB5">
            <w:pPr>
              <w:rPr>
                <w:rFonts w:ascii="Arial" w:hAnsi="Arial" w:cs="Arial"/>
                <w:sz w:val="24"/>
                <w:szCs w:val="24"/>
              </w:rPr>
            </w:pPr>
            <w:r>
              <w:rPr>
                <w:rFonts w:ascii="Arial" w:hAnsi="Arial" w:cs="Arial"/>
                <w:noProof/>
                <w:sz w:val="24"/>
                <w:szCs w:val="24"/>
                <w:lang w:eastAsia="en-GB"/>
              </w:rPr>
              <w:drawing>
                <wp:inline distT="0" distB="0" distL="0" distR="0" wp14:anchorId="4D7F4AFC" wp14:editId="276C7499">
                  <wp:extent cx="2771775" cy="1665216"/>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779302" cy="1669738"/>
                          </a:xfrm>
                          <a:prstGeom prst="rect">
                            <a:avLst/>
                          </a:prstGeom>
                          <a:noFill/>
                        </pic:spPr>
                      </pic:pic>
                    </a:graphicData>
                  </a:graphic>
                </wp:inline>
              </w:drawing>
            </w:r>
          </w:p>
        </w:tc>
        <w:tc>
          <w:tcPr>
            <w:tcW w:w="4962" w:type="dxa"/>
          </w:tcPr>
          <w:p w:rsidR="00392D42" w:rsidRDefault="00392D42" w:rsidP="00392D42">
            <w:pPr>
              <w:rPr>
                <w:rFonts w:ascii="Arial" w:hAnsi="Arial" w:cs="Arial"/>
                <w:sz w:val="24"/>
                <w:szCs w:val="24"/>
              </w:rPr>
            </w:pPr>
            <w:r>
              <w:rPr>
                <w:rFonts w:ascii="Arial" w:hAnsi="Arial" w:cs="Arial"/>
                <w:noProof/>
                <w:sz w:val="24"/>
                <w:szCs w:val="24"/>
                <w:lang w:eastAsia="en-GB"/>
              </w:rPr>
              <w:drawing>
                <wp:inline distT="0" distB="0" distL="0" distR="0" wp14:anchorId="06C1DD43" wp14:editId="56521859">
                  <wp:extent cx="2770571" cy="1664493"/>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771748" cy="1665200"/>
                          </a:xfrm>
                          <a:prstGeom prst="rect">
                            <a:avLst/>
                          </a:prstGeom>
                          <a:noFill/>
                        </pic:spPr>
                      </pic:pic>
                    </a:graphicData>
                  </a:graphic>
                </wp:inline>
              </w:drawing>
            </w:r>
          </w:p>
        </w:tc>
      </w:tr>
    </w:tbl>
    <w:p w:rsidR="00392D42" w:rsidRDefault="00392D42" w:rsidP="00AC7BB5">
      <w:pPr>
        <w:spacing w:after="0"/>
        <w:rPr>
          <w:rFonts w:ascii="Arial" w:hAnsi="Arial" w:cs="Arial"/>
          <w:sz w:val="24"/>
          <w:szCs w:val="24"/>
        </w:rPr>
      </w:pPr>
    </w:p>
    <w:p w:rsidR="00392D42" w:rsidRPr="00AC7BB5" w:rsidRDefault="00392D42" w:rsidP="00AC7BB5">
      <w:pPr>
        <w:spacing w:after="0"/>
        <w:rPr>
          <w:rFonts w:ascii="Arial" w:hAnsi="Arial" w:cs="Arial"/>
          <w:sz w:val="24"/>
          <w:szCs w:val="24"/>
        </w:rPr>
      </w:pPr>
    </w:p>
    <w:p w:rsidR="00AC7BB5" w:rsidRPr="00AC7BB5" w:rsidRDefault="00AC7BB5" w:rsidP="00AC7BB5">
      <w:pPr>
        <w:spacing w:after="0"/>
        <w:rPr>
          <w:rFonts w:ascii="Arial" w:hAnsi="Arial" w:cs="Arial"/>
          <w:sz w:val="24"/>
          <w:szCs w:val="24"/>
        </w:rPr>
      </w:pPr>
      <w:r w:rsidRPr="00AC7BB5">
        <w:rPr>
          <w:rFonts w:ascii="Arial" w:hAnsi="Arial" w:cs="Arial"/>
          <w:sz w:val="24"/>
          <w:szCs w:val="24"/>
        </w:rPr>
        <w:t>Long / short term sickness absence:</w:t>
      </w:r>
    </w:p>
    <w:p w:rsidR="00AC7BB5" w:rsidRPr="00AC7BB5" w:rsidRDefault="00AC7BB5" w:rsidP="00AC7BB5">
      <w:pPr>
        <w:spacing w:after="0"/>
      </w:pPr>
    </w:p>
    <w:p w:rsidR="00AC7BB5" w:rsidRPr="00AC7BB5" w:rsidRDefault="00AC7BB5" w:rsidP="00AC7BB5">
      <w:pPr>
        <w:spacing w:after="0"/>
        <w:rPr>
          <w:rFonts w:ascii="Arial" w:hAnsi="Arial" w:cs="Arial"/>
          <w:sz w:val="24"/>
          <w:szCs w:val="24"/>
        </w:rPr>
      </w:pPr>
      <w:r w:rsidRPr="00AC7BB5">
        <w:rPr>
          <w:rFonts w:ascii="Arial" w:hAnsi="Arial" w:cs="Arial"/>
          <w:sz w:val="24"/>
          <w:szCs w:val="24"/>
        </w:rPr>
        <w:t>This table displays total Trust short and long term sickness absence, per month.</w:t>
      </w:r>
    </w:p>
    <w:p w:rsidR="00AC7BB5" w:rsidRPr="00AC7BB5" w:rsidRDefault="00AC7BB5" w:rsidP="00AC7BB5">
      <w:pPr>
        <w:spacing w:after="0"/>
      </w:pPr>
      <w:r w:rsidRPr="00AC7BB5">
        <w:rPr>
          <w:noProof/>
          <w:lang w:eastAsia="en-GB"/>
        </w:rPr>
        <w:lastRenderedPageBreak/>
        <w:drawing>
          <wp:inline distT="0" distB="0" distL="0" distR="0" wp14:anchorId="6DF44091" wp14:editId="4E5DFD20">
            <wp:extent cx="5731510" cy="715826"/>
            <wp:effectExtent l="0" t="0" r="2540" b="8255"/>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tretch>
                      <a:fillRect/>
                    </a:stretch>
                  </pic:blipFill>
                  <pic:spPr>
                    <a:xfrm>
                      <a:off x="0" y="0"/>
                      <a:ext cx="5731510" cy="715826"/>
                    </a:xfrm>
                    <a:prstGeom prst="rect">
                      <a:avLst/>
                    </a:prstGeom>
                  </pic:spPr>
                </pic:pic>
              </a:graphicData>
            </a:graphic>
          </wp:inline>
        </w:drawing>
      </w:r>
    </w:p>
    <w:p w:rsidR="00AC7BB5" w:rsidRPr="00AC7BB5" w:rsidRDefault="00AC7BB5" w:rsidP="00AC7BB5">
      <w:pPr>
        <w:spacing w:after="0"/>
      </w:pPr>
    </w:p>
    <w:p w:rsidR="00AC7BB5" w:rsidRPr="00AC7BB5" w:rsidRDefault="00AC7BB5" w:rsidP="00AC7BB5">
      <w:pPr>
        <w:spacing w:after="0" w:line="240" w:lineRule="auto"/>
        <w:rPr>
          <w:rFonts w:ascii="Arial" w:hAnsi="Arial" w:cs="Arial"/>
          <w:sz w:val="24"/>
          <w:szCs w:val="24"/>
          <w:highlight w:val="yellow"/>
        </w:rPr>
      </w:pPr>
      <w:r w:rsidRPr="00AC7BB5">
        <w:rPr>
          <w:rFonts w:ascii="Arial" w:hAnsi="Arial" w:cs="Arial"/>
          <w:sz w:val="24"/>
          <w:szCs w:val="24"/>
        </w:rPr>
        <w:t>This chart shows long term sickness by Directorate, per month:</w:t>
      </w:r>
    </w:p>
    <w:p w:rsidR="00AC7BB5" w:rsidRPr="00AC7BB5" w:rsidRDefault="00AC7BB5" w:rsidP="00AC7BB5">
      <w:pPr>
        <w:spacing w:after="0"/>
      </w:pPr>
    </w:p>
    <w:p w:rsidR="00AC7BB5" w:rsidRPr="00AC7BB5" w:rsidRDefault="00AC7BB5" w:rsidP="00AC7BB5">
      <w:pPr>
        <w:spacing w:after="0"/>
      </w:pPr>
      <w:r w:rsidRPr="00AC7BB5">
        <w:rPr>
          <w:noProof/>
          <w:lang w:eastAsia="en-GB"/>
        </w:rPr>
        <w:drawing>
          <wp:inline distT="0" distB="0" distL="0" distR="0" wp14:anchorId="06C4979C" wp14:editId="3EF8ED20">
            <wp:extent cx="6083300" cy="2197100"/>
            <wp:effectExtent l="0" t="0" r="12700" b="12700"/>
            <wp:docPr id="38" name="Chart 38"/>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rsidR="00AC7BB5" w:rsidRPr="00AC7BB5" w:rsidRDefault="00AC7BB5" w:rsidP="00AC7BB5">
      <w:pPr>
        <w:spacing w:after="0"/>
      </w:pPr>
    </w:p>
    <w:p w:rsidR="00AC7BB5" w:rsidRPr="00AC7BB5" w:rsidRDefault="00AC7BB5" w:rsidP="001C3A18">
      <w:pPr>
        <w:spacing w:after="0"/>
        <w:jc w:val="both"/>
        <w:rPr>
          <w:rFonts w:ascii="Arial" w:hAnsi="Arial" w:cs="Arial"/>
          <w:sz w:val="24"/>
        </w:rPr>
      </w:pPr>
      <w:r w:rsidRPr="00AC7BB5">
        <w:rPr>
          <w:rFonts w:ascii="Arial" w:hAnsi="Arial" w:cs="Arial"/>
          <w:sz w:val="24"/>
        </w:rPr>
        <w:t>As is evident from the graph above, both the Integrated Care directorate and the Radiation Services directorate continue to see a decrease in the number of long-term sickness cases, whereas Chemotherapy Services and Haemato-Oncology show an increase in cases. These will continue to be monitored and managed by line managers with the support of the Workforce and OD Business Support team.</w:t>
      </w:r>
    </w:p>
    <w:p w:rsidR="00AC7BB5" w:rsidRPr="00AC7BB5" w:rsidRDefault="00AC7BB5" w:rsidP="00AC7BB5">
      <w:pPr>
        <w:spacing w:after="0"/>
      </w:pPr>
    </w:p>
    <w:tbl>
      <w:tblPr>
        <w:tblStyle w:val="TableGrid38"/>
        <w:tblW w:w="0" w:type="auto"/>
        <w:tblLook w:val="04A0" w:firstRow="1" w:lastRow="0" w:firstColumn="1" w:lastColumn="0" w:noHBand="0" w:noVBand="1"/>
      </w:tblPr>
      <w:tblGrid>
        <w:gridCol w:w="9723"/>
      </w:tblGrid>
      <w:tr w:rsidR="00AC7BB5" w:rsidRPr="00AC7BB5" w:rsidTr="001C3A18">
        <w:trPr>
          <w:trHeight w:val="457"/>
        </w:trPr>
        <w:tc>
          <w:tcPr>
            <w:tcW w:w="9723" w:type="dxa"/>
            <w:shd w:val="clear" w:color="auto" w:fill="92D050"/>
            <w:vAlign w:val="center"/>
          </w:tcPr>
          <w:p w:rsidR="00AC7BB5" w:rsidRPr="00AC7BB5" w:rsidRDefault="0085699D" w:rsidP="00AC7BB5">
            <w:r>
              <w:rPr>
                <w:rFonts w:ascii="Arial" w:hAnsi="Arial" w:cs="Arial"/>
                <w:b/>
                <w:sz w:val="24"/>
                <w:szCs w:val="24"/>
              </w:rPr>
              <w:t>3.5</w:t>
            </w:r>
            <w:r w:rsidR="00AC7BB5" w:rsidRPr="00AC7BB5">
              <w:rPr>
                <w:rFonts w:ascii="Arial" w:hAnsi="Arial" w:cs="Arial"/>
                <w:b/>
                <w:sz w:val="24"/>
                <w:szCs w:val="24"/>
              </w:rPr>
              <w:t>.3 Turnover</w:t>
            </w:r>
          </w:p>
        </w:tc>
      </w:tr>
    </w:tbl>
    <w:p w:rsidR="00AC7BB5" w:rsidRPr="00AC7BB5" w:rsidRDefault="00AC7BB5" w:rsidP="00AC7BB5">
      <w:pPr>
        <w:spacing w:after="0"/>
      </w:pPr>
    </w:p>
    <w:p w:rsidR="00AC7BB5" w:rsidRPr="004B3B11" w:rsidRDefault="00AC7BB5" w:rsidP="00AC7BB5">
      <w:pPr>
        <w:spacing w:after="0"/>
        <w:rPr>
          <w:rFonts w:ascii="Arial" w:hAnsi="Arial" w:cs="Arial"/>
          <w:sz w:val="24"/>
        </w:rPr>
      </w:pPr>
      <w:r w:rsidRPr="004B3B11">
        <w:rPr>
          <w:rFonts w:ascii="Arial" w:hAnsi="Arial" w:cs="Arial"/>
          <w:sz w:val="24"/>
        </w:rPr>
        <w:t xml:space="preserve">The graph below shows the rolling 12 month turnover figures, against the Trust target of 14%. </w:t>
      </w:r>
    </w:p>
    <w:p w:rsidR="00AC7BB5" w:rsidRPr="004B3B11" w:rsidRDefault="00AC7BB5" w:rsidP="00AC7BB5">
      <w:pPr>
        <w:spacing w:after="0"/>
        <w:rPr>
          <w:rFonts w:ascii="Arial" w:hAnsi="Arial" w:cs="Arial"/>
          <w:sz w:val="24"/>
        </w:rPr>
      </w:pPr>
    </w:p>
    <w:p w:rsidR="00AC7BB5" w:rsidRPr="004B3B11" w:rsidRDefault="00AC7BB5" w:rsidP="00AC7BB5">
      <w:pPr>
        <w:spacing w:after="0"/>
        <w:rPr>
          <w:rFonts w:ascii="Arial" w:hAnsi="Arial" w:cs="Arial"/>
          <w:sz w:val="24"/>
        </w:rPr>
      </w:pPr>
      <w:r w:rsidRPr="004B3B11">
        <w:rPr>
          <w:rFonts w:ascii="Arial" w:hAnsi="Arial" w:cs="Arial"/>
          <w:sz w:val="24"/>
        </w:rPr>
        <w:t xml:space="preserve">The rolling 12 month turnover figure has decreased from 15.26% in April 2020 to 14.81% in May 2020.  Turnover during April and May 2020 remains higher than the same period in 2019. </w:t>
      </w:r>
    </w:p>
    <w:p w:rsidR="00AC7BB5" w:rsidRPr="00AC7BB5" w:rsidRDefault="00AC7BB5" w:rsidP="00AC7BB5">
      <w:pPr>
        <w:spacing w:after="0"/>
      </w:pPr>
    </w:p>
    <w:p w:rsidR="00AC7BB5" w:rsidRDefault="00AC7BB5" w:rsidP="00AC7BB5">
      <w:pPr>
        <w:spacing w:after="0"/>
      </w:pPr>
      <w:r w:rsidRPr="00AC7BB5">
        <w:rPr>
          <w:noProof/>
          <w:lang w:eastAsia="en-GB"/>
        </w:rPr>
        <w:lastRenderedPageBreak/>
        <w:drawing>
          <wp:inline distT="0" distB="0" distL="0" distR="0" wp14:anchorId="6EADB9F7" wp14:editId="19C434AA">
            <wp:extent cx="5588000" cy="2413000"/>
            <wp:effectExtent l="0" t="0" r="12700" b="25400"/>
            <wp:docPr id="39" name="Chart 39"/>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rsidR="004B3B11" w:rsidRPr="004B3B11" w:rsidRDefault="004B3B11" w:rsidP="004B3B11">
      <w:pPr>
        <w:spacing w:after="0"/>
        <w:jc w:val="both"/>
        <w:rPr>
          <w:rFonts w:ascii="Arial" w:hAnsi="Arial" w:cs="Arial"/>
          <w:sz w:val="24"/>
        </w:rPr>
      </w:pPr>
    </w:p>
    <w:p w:rsidR="004B3B11" w:rsidRDefault="004B3B11" w:rsidP="004B3B11">
      <w:pPr>
        <w:spacing w:after="0"/>
        <w:jc w:val="both"/>
        <w:rPr>
          <w:rFonts w:ascii="Arial" w:hAnsi="Arial" w:cs="Arial"/>
          <w:sz w:val="24"/>
        </w:rPr>
      </w:pPr>
      <w:r w:rsidRPr="004B3B11">
        <w:rPr>
          <w:rFonts w:ascii="Arial" w:hAnsi="Arial" w:cs="Arial"/>
          <w:sz w:val="24"/>
        </w:rPr>
        <w:t>The following charts show the stretch targets for nursing and administrative and clerical staff that were agreed by the Workforce &amp; OD Committee in April 2020.  Recruitment and retention action plans sit underneath these targets and we will continue to report progress against these.</w:t>
      </w:r>
    </w:p>
    <w:p w:rsidR="004B3B11" w:rsidRPr="004B3B11" w:rsidRDefault="004B3B11" w:rsidP="00AC7BB5">
      <w:pPr>
        <w:spacing w:after="0"/>
        <w:rPr>
          <w:rFonts w:ascii="Arial" w:hAnsi="Arial" w:cs="Arial"/>
          <w:sz w:val="24"/>
        </w:rPr>
      </w:pPr>
    </w:p>
    <w:p w:rsidR="004B3B11" w:rsidRDefault="004B3B11" w:rsidP="004B3B11">
      <w:pPr>
        <w:rPr>
          <w:rFonts w:ascii="Arial" w:hAnsi="Arial" w:cs="Arial"/>
          <w:b/>
          <w:bCs/>
        </w:rPr>
      </w:pPr>
      <w:r>
        <w:rPr>
          <w:rFonts w:ascii="Arial" w:hAnsi="Arial" w:cs="Arial"/>
          <w:b/>
          <w:bCs/>
        </w:rPr>
        <w:t>Registered Nursing Turnover</w:t>
      </w:r>
    </w:p>
    <w:p w:rsidR="004B3B11" w:rsidRDefault="004B3B11" w:rsidP="004B3B11">
      <w:pPr>
        <w:jc w:val="center"/>
      </w:pPr>
      <w:r>
        <w:rPr>
          <w:noProof/>
          <w:lang w:eastAsia="en-GB"/>
        </w:rPr>
        <w:drawing>
          <wp:inline distT="0" distB="0" distL="0" distR="0">
            <wp:extent cx="5560291" cy="2177716"/>
            <wp:effectExtent l="19050" t="19050" r="21590" b="13335"/>
            <wp:docPr id="25" name="Picture 25" descr="cid:image004.png@01D63FE6.DBFBF9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rt 4" descr="cid:image004.png@01D63FE6.DBFBF980"/>
                    <pic:cNvPicPr>
                      <a:picLocks noChangeAspect="1" noChangeArrowheads="1"/>
                    </pic:cNvPicPr>
                  </pic:nvPicPr>
                  <pic:blipFill>
                    <a:blip r:embed="rId38" r:link="rId39">
                      <a:extLst>
                        <a:ext uri="{28A0092B-C50C-407E-A947-70E740481C1C}">
                          <a14:useLocalDpi xmlns:a14="http://schemas.microsoft.com/office/drawing/2010/main" val="0"/>
                        </a:ext>
                      </a:extLst>
                    </a:blip>
                    <a:srcRect/>
                    <a:stretch>
                      <a:fillRect/>
                    </a:stretch>
                  </pic:blipFill>
                  <pic:spPr bwMode="auto">
                    <a:xfrm>
                      <a:off x="0" y="0"/>
                      <a:ext cx="5579592" cy="2185275"/>
                    </a:xfrm>
                    <a:prstGeom prst="rect">
                      <a:avLst/>
                    </a:prstGeom>
                    <a:noFill/>
                    <a:ln>
                      <a:solidFill>
                        <a:schemeClr val="bg1">
                          <a:lumMod val="75000"/>
                        </a:schemeClr>
                      </a:solidFill>
                    </a:ln>
                  </pic:spPr>
                </pic:pic>
              </a:graphicData>
            </a:graphic>
          </wp:inline>
        </w:drawing>
      </w:r>
    </w:p>
    <w:p w:rsidR="004B3B11" w:rsidRDefault="004B3B11" w:rsidP="004B3B11">
      <w:pPr>
        <w:rPr>
          <w:rFonts w:ascii="Arial" w:hAnsi="Arial" w:cs="Arial"/>
          <w:b/>
          <w:bCs/>
        </w:rPr>
      </w:pPr>
      <w:r>
        <w:rPr>
          <w:rFonts w:ascii="Arial" w:hAnsi="Arial" w:cs="Arial"/>
          <w:b/>
          <w:bCs/>
        </w:rPr>
        <w:t>Administrative and Clerical Turnover</w:t>
      </w:r>
    </w:p>
    <w:p w:rsidR="004B3B11" w:rsidRDefault="004B3B11" w:rsidP="004B3B11">
      <w:pPr>
        <w:jc w:val="center"/>
      </w:pPr>
      <w:r>
        <w:rPr>
          <w:noProof/>
          <w:lang w:eastAsia="en-GB"/>
        </w:rPr>
        <w:drawing>
          <wp:inline distT="0" distB="0" distL="0" distR="0">
            <wp:extent cx="5664200" cy="2387600"/>
            <wp:effectExtent l="19050" t="19050" r="12700" b="12700"/>
            <wp:docPr id="24" name="Picture 24" descr="cid:image005.png@01D63FE6.DBFBF9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rt 6" descr="cid:image005.png@01D63FE6.DBFBF980"/>
                    <pic:cNvPicPr>
                      <a:picLocks noChangeAspect="1" noChangeArrowheads="1"/>
                    </pic:cNvPicPr>
                  </pic:nvPicPr>
                  <pic:blipFill>
                    <a:blip r:embed="rId40" r:link="rId41">
                      <a:extLst>
                        <a:ext uri="{28A0092B-C50C-407E-A947-70E740481C1C}">
                          <a14:useLocalDpi xmlns:a14="http://schemas.microsoft.com/office/drawing/2010/main" val="0"/>
                        </a:ext>
                      </a:extLst>
                    </a:blip>
                    <a:srcRect/>
                    <a:stretch>
                      <a:fillRect/>
                    </a:stretch>
                  </pic:blipFill>
                  <pic:spPr bwMode="auto">
                    <a:xfrm>
                      <a:off x="0" y="0"/>
                      <a:ext cx="5664200" cy="2387600"/>
                    </a:xfrm>
                    <a:prstGeom prst="rect">
                      <a:avLst/>
                    </a:prstGeom>
                    <a:noFill/>
                    <a:ln>
                      <a:solidFill>
                        <a:schemeClr val="bg1">
                          <a:lumMod val="75000"/>
                        </a:schemeClr>
                      </a:solidFill>
                    </a:ln>
                  </pic:spPr>
                </pic:pic>
              </a:graphicData>
            </a:graphic>
          </wp:inline>
        </w:drawing>
      </w:r>
    </w:p>
    <w:p w:rsidR="004B3B11" w:rsidRPr="00AC7BB5" w:rsidRDefault="004B3B11" w:rsidP="00AC7BB5">
      <w:pPr>
        <w:spacing w:after="0"/>
      </w:pPr>
    </w:p>
    <w:tbl>
      <w:tblPr>
        <w:tblStyle w:val="TableGrid38"/>
        <w:tblW w:w="0" w:type="auto"/>
        <w:tblLook w:val="04A0" w:firstRow="1" w:lastRow="0" w:firstColumn="1" w:lastColumn="0" w:noHBand="0" w:noVBand="1"/>
      </w:tblPr>
      <w:tblGrid>
        <w:gridCol w:w="9763"/>
      </w:tblGrid>
      <w:tr w:rsidR="00AC7BB5" w:rsidRPr="00AC7BB5" w:rsidTr="001C3A18">
        <w:trPr>
          <w:trHeight w:val="491"/>
        </w:trPr>
        <w:tc>
          <w:tcPr>
            <w:tcW w:w="9763" w:type="dxa"/>
            <w:shd w:val="clear" w:color="auto" w:fill="92D050"/>
            <w:vAlign w:val="center"/>
          </w:tcPr>
          <w:p w:rsidR="00AC7BB5" w:rsidRPr="00AC7BB5" w:rsidRDefault="00AC7BB5" w:rsidP="0085699D">
            <w:r w:rsidRPr="00AC7BB5">
              <w:rPr>
                <w:rFonts w:ascii="Arial" w:hAnsi="Arial" w:cs="Arial"/>
                <w:b/>
                <w:sz w:val="24"/>
                <w:szCs w:val="24"/>
              </w:rPr>
              <w:t>3.</w:t>
            </w:r>
            <w:r w:rsidR="0085699D">
              <w:rPr>
                <w:rFonts w:ascii="Arial" w:hAnsi="Arial" w:cs="Arial"/>
                <w:b/>
                <w:sz w:val="24"/>
                <w:szCs w:val="24"/>
              </w:rPr>
              <w:t>5</w:t>
            </w:r>
            <w:r w:rsidRPr="00AC7BB5">
              <w:rPr>
                <w:rFonts w:ascii="Arial" w:hAnsi="Arial" w:cs="Arial"/>
                <w:b/>
                <w:sz w:val="24"/>
                <w:szCs w:val="24"/>
              </w:rPr>
              <w:t>.4 Statutory and Mandatory Training</w:t>
            </w:r>
          </w:p>
        </w:tc>
      </w:tr>
    </w:tbl>
    <w:p w:rsidR="00AC7BB5" w:rsidRPr="00AC7BB5" w:rsidRDefault="00AC7BB5" w:rsidP="00AC7BB5">
      <w:pPr>
        <w:autoSpaceDE w:val="0"/>
        <w:autoSpaceDN w:val="0"/>
        <w:adjustRightInd w:val="0"/>
        <w:spacing w:after="0" w:line="240" w:lineRule="auto"/>
        <w:jc w:val="both"/>
        <w:rPr>
          <w:rFonts w:ascii="Arial" w:hAnsi="Arial" w:cs="Arial"/>
        </w:rPr>
      </w:pPr>
    </w:p>
    <w:p w:rsidR="00AC7BB5" w:rsidRPr="004B3B11" w:rsidRDefault="00AC7BB5" w:rsidP="00AC7BB5">
      <w:pPr>
        <w:autoSpaceDE w:val="0"/>
        <w:autoSpaceDN w:val="0"/>
        <w:adjustRightInd w:val="0"/>
        <w:spacing w:after="0" w:line="240" w:lineRule="auto"/>
        <w:jc w:val="both"/>
        <w:rPr>
          <w:rFonts w:ascii="Arial" w:hAnsi="Arial" w:cs="Arial"/>
          <w:sz w:val="24"/>
        </w:rPr>
      </w:pPr>
      <w:r w:rsidRPr="004B3B11">
        <w:rPr>
          <w:rFonts w:ascii="Arial" w:hAnsi="Arial" w:cs="Arial"/>
          <w:sz w:val="24"/>
        </w:rPr>
        <w:t>Overall Trust compliance at 31</w:t>
      </w:r>
      <w:r w:rsidRPr="004B3B11">
        <w:rPr>
          <w:rFonts w:ascii="Arial" w:hAnsi="Arial" w:cs="Arial"/>
          <w:sz w:val="24"/>
          <w:vertAlign w:val="superscript"/>
        </w:rPr>
        <w:t>st</w:t>
      </w:r>
      <w:r w:rsidRPr="004B3B11">
        <w:rPr>
          <w:rFonts w:ascii="Arial" w:hAnsi="Arial" w:cs="Arial"/>
          <w:sz w:val="24"/>
        </w:rPr>
        <w:t xml:space="preserve"> May 2020 </w:t>
      </w:r>
      <w:r w:rsidR="00E139B3" w:rsidRPr="004B3B11">
        <w:rPr>
          <w:rFonts w:ascii="Arial" w:hAnsi="Arial" w:cs="Arial"/>
          <w:sz w:val="24"/>
        </w:rPr>
        <w:t>is 95.66% which is above the target</w:t>
      </w:r>
      <w:r w:rsidRPr="004B3B11">
        <w:rPr>
          <w:rFonts w:ascii="Arial" w:hAnsi="Arial" w:cs="Arial"/>
          <w:sz w:val="24"/>
        </w:rPr>
        <w:t xml:space="preserve"> of 90% and is a 0.50% increase from the previous month. </w:t>
      </w:r>
    </w:p>
    <w:p w:rsidR="00AC7BB5" w:rsidRDefault="00AC7BB5" w:rsidP="00AC7BB5">
      <w:pPr>
        <w:spacing w:after="0"/>
        <w:rPr>
          <w:noProof/>
          <w:lang w:eastAsia="en-GB"/>
        </w:rPr>
      </w:pPr>
      <w:r w:rsidRPr="00AC7BB5">
        <w:rPr>
          <w:noProof/>
          <w:lang w:eastAsia="en-GB"/>
        </w:rPr>
        <w:drawing>
          <wp:inline distT="0" distB="0" distL="0" distR="0" wp14:anchorId="172521DF" wp14:editId="06911FC3">
            <wp:extent cx="2794000" cy="2419350"/>
            <wp:effectExtent l="0" t="0" r="25400" b="19050"/>
            <wp:docPr id="40" name="Chart 40"/>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r w:rsidRPr="00AC7BB5">
        <w:rPr>
          <w:noProof/>
          <w:lang w:eastAsia="en-GB"/>
        </w:rPr>
        <w:t xml:space="preserve"> </w:t>
      </w:r>
      <w:r w:rsidRPr="00AC7BB5">
        <w:rPr>
          <w:noProof/>
          <w:lang w:eastAsia="en-GB"/>
        </w:rPr>
        <w:drawing>
          <wp:inline distT="0" distB="0" distL="0" distR="0" wp14:anchorId="087C34B7" wp14:editId="1FFEFECA">
            <wp:extent cx="2794000" cy="2654300"/>
            <wp:effectExtent l="0" t="0" r="635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3"/>
                    <a:stretch>
                      <a:fillRect/>
                    </a:stretch>
                  </pic:blipFill>
                  <pic:spPr>
                    <a:xfrm>
                      <a:off x="0" y="0"/>
                      <a:ext cx="2799687" cy="2659703"/>
                    </a:xfrm>
                    <a:prstGeom prst="rect">
                      <a:avLst/>
                    </a:prstGeom>
                  </pic:spPr>
                </pic:pic>
              </a:graphicData>
            </a:graphic>
          </wp:inline>
        </w:drawing>
      </w:r>
    </w:p>
    <w:p w:rsidR="00A36BA4" w:rsidRDefault="00A36BA4" w:rsidP="00AC7BB5">
      <w:pPr>
        <w:autoSpaceDE w:val="0"/>
        <w:autoSpaceDN w:val="0"/>
        <w:adjustRightInd w:val="0"/>
        <w:spacing w:after="0" w:line="240" w:lineRule="auto"/>
        <w:jc w:val="both"/>
        <w:rPr>
          <w:rFonts w:ascii="Arial" w:hAnsi="Arial" w:cs="Arial"/>
          <w:sz w:val="24"/>
          <w:szCs w:val="24"/>
        </w:rPr>
      </w:pPr>
    </w:p>
    <w:p w:rsidR="00AC7BB5" w:rsidRPr="004B3B11" w:rsidRDefault="00AC7BB5" w:rsidP="00AC7BB5">
      <w:pPr>
        <w:autoSpaceDE w:val="0"/>
        <w:autoSpaceDN w:val="0"/>
        <w:adjustRightInd w:val="0"/>
        <w:spacing w:after="0" w:line="240" w:lineRule="auto"/>
        <w:jc w:val="both"/>
        <w:rPr>
          <w:rFonts w:ascii="Arial" w:hAnsi="Arial" w:cs="Arial"/>
          <w:sz w:val="24"/>
          <w:szCs w:val="24"/>
        </w:rPr>
      </w:pPr>
      <w:r w:rsidRPr="004B3B11">
        <w:rPr>
          <w:rFonts w:ascii="Arial" w:hAnsi="Arial" w:cs="Arial"/>
          <w:sz w:val="24"/>
          <w:szCs w:val="24"/>
        </w:rPr>
        <w:t xml:space="preserve">Due to Covid-19 a number of face to face mandatory training programmes have been cancelled and the Learning and Organisational Development Team have, where possible, replaced this with e-learning, videos of training and/or workbooks to help staff maintain their compliance.  </w:t>
      </w:r>
    </w:p>
    <w:p w:rsidR="00AC7BB5" w:rsidRPr="004B3B11" w:rsidRDefault="00AC7BB5" w:rsidP="00AC7BB5">
      <w:pPr>
        <w:autoSpaceDE w:val="0"/>
        <w:autoSpaceDN w:val="0"/>
        <w:adjustRightInd w:val="0"/>
        <w:spacing w:after="0" w:line="240" w:lineRule="auto"/>
        <w:jc w:val="both"/>
        <w:rPr>
          <w:rFonts w:ascii="Arial" w:hAnsi="Arial" w:cs="Arial"/>
          <w:sz w:val="24"/>
          <w:szCs w:val="24"/>
        </w:rPr>
      </w:pPr>
    </w:p>
    <w:p w:rsidR="00AC7BB5" w:rsidRPr="004B3B11" w:rsidRDefault="00AC7BB5" w:rsidP="00AC7BB5">
      <w:pPr>
        <w:autoSpaceDE w:val="0"/>
        <w:autoSpaceDN w:val="0"/>
        <w:adjustRightInd w:val="0"/>
        <w:spacing w:after="0" w:line="240" w:lineRule="auto"/>
        <w:jc w:val="both"/>
        <w:rPr>
          <w:rFonts w:ascii="Arial" w:hAnsi="Arial" w:cs="Arial"/>
          <w:sz w:val="24"/>
          <w:szCs w:val="24"/>
        </w:rPr>
      </w:pPr>
      <w:r w:rsidRPr="004B3B11">
        <w:rPr>
          <w:rFonts w:ascii="Arial" w:hAnsi="Arial" w:cs="Arial"/>
          <w:sz w:val="24"/>
          <w:szCs w:val="24"/>
        </w:rPr>
        <w:t xml:space="preserve">An increase in face to face clinical training will commence in June, but numbers per session will be reduced to support social distancing principles. </w:t>
      </w:r>
    </w:p>
    <w:p w:rsidR="00AC7BB5" w:rsidRPr="004B3B11" w:rsidRDefault="00AC7BB5" w:rsidP="00AC7BB5">
      <w:pPr>
        <w:autoSpaceDE w:val="0"/>
        <w:autoSpaceDN w:val="0"/>
        <w:adjustRightInd w:val="0"/>
        <w:spacing w:after="0" w:line="240" w:lineRule="auto"/>
        <w:jc w:val="both"/>
        <w:rPr>
          <w:rFonts w:ascii="Arial" w:hAnsi="Arial" w:cs="Arial"/>
          <w:sz w:val="24"/>
          <w:szCs w:val="24"/>
        </w:rPr>
      </w:pPr>
    </w:p>
    <w:p w:rsidR="00AC7BB5" w:rsidRPr="004B3B11" w:rsidRDefault="00AC7BB5" w:rsidP="00AC7BB5">
      <w:pPr>
        <w:autoSpaceDE w:val="0"/>
        <w:autoSpaceDN w:val="0"/>
        <w:adjustRightInd w:val="0"/>
        <w:spacing w:after="0" w:line="240" w:lineRule="auto"/>
        <w:jc w:val="both"/>
        <w:rPr>
          <w:rFonts w:ascii="Arial" w:hAnsi="Arial" w:cs="Arial"/>
          <w:sz w:val="24"/>
          <w:szCs w:val="24"/>
        </w:rPr>
      </w:pPr>
      <w:r w:rsidRPr="004B3B11">
        <w:rPr>
          <w:rFonts w:ascii="Arial" w:hAnsi="Arial" w:cs="Arial"/>
          <w:sz w:val="24"/>
          <w:szCs w:val="24"/>
        </w:rPr>
        <w:t xml:space="preserve">The L&amp;OD Team will continue to send monthly reminder emails to staff who are non-compliant, alongside ESR reminders and will continue to work closely with the lead trainers to ensure compliance remains above 90%. </w:t>
      </w:r>
    </w:p>
    <w:p w:rsidR="00AC7BB5" w:rsidRPr="004B3B11" w:rsidRDefault="00AC7BB5" w:rsidP="00AC7BB5">
      <w:pPr>
        <w:autoSpaceDE w:val="0"/>
        <w:autoSpaceDN w:val="0"/>
        <w:adjustRightInd w:val="0"/>
        <w:spacing w:after="0" w:line="240" w:lineRule="auto"/>
        <w:jc w:val="both"/>
        <w:rPr>
          <w:rFonts w:ascii="Arial" w:hAnsi="Arial" w:cs="Arial"/>
          <w:sz w:val="24"/>
          <w:szCs w:val="24"/>
        </w:rPr>
      </w:pPr>
    </w:p>
    <w:p w:rsidR="00AC7BB5" w:rsidRPr="004B3B11" w:rsidRDefault="00AC7BB5" w:rsidP="00AC7BB5">
      <w:pPr>
        <w:autoSpaceDE w:val="0"/>
        <w:autoSpaceDN w:val="0"/>
        <w:adjustRightInd w:val="0"/>
        <w:spacing w:after="0" w:line="240" w:lineRule="auto"/>
        <w:jc w:val="both"/>
        <w:rPr>
          <w:rFonts w:ascii="Arial" w:hAnsi="Arial" w:cs="Arial"/>
          <w:sz w:val="24"/>
          <w:szCs w:val="24"/>
        </w:rPr>
      </w:pPr>
      <w:r w:rsidRPr="004B3B11">
        <w:rPr>
          <w:rFonts w:ascii="Arial" w:hAnsi="Arial" w:cs="Arial"/>
          <w:sz w:val="24"/>
          <w:szCs w:val="24"/>
        </w:rPr>
        <w:t xml:space="preserve">Concern has been escalated over BLS, ILS, Patient Handling and Safeguarding Adults and Children level 3 compliance, which are under performing against the Trust’s target of 90%. </w:t>
      </w:r>
    </w:p>
    <w:p w:rsidR="00AC7BB5" w:rsidRPr="004B3B11" w:rsidRDefault="00AC7BB5" w:rsidP="00AC7BB5">
      <w:pPr>
        <w:autoSpaceDE w:val="0"/>
        <w:autoSpaceDN w:val="0"/>
        <w:adjustRightInd w:val="0"/>
        <w:spacing w:after="0" w:line="240" w:lineRule="auto"/>
        <w:jc w:val="both"/>
        <w:rPr>
          <w:rFonts w:ascii="Arial" w:hAnsi="Arial" w:cs="Arial"/>
          <w:sz w:val="24"/>
          <w:szCs w:val="24"/>
        </w:rPr>
      </w:pPr>
    </w:p>
    <w:p w:rsidR="00AC7BB5" w:rsidRPr="004B3B11" w:rsidRDefault="00AC7BB5" w:rsidP="00AC7BB5">
      <w:pPr>
        <w:autoSpaceDE w:val="0"/>
        <w:autoSpaceDN w:val="0"/>
        <w:adjustRightInd w:val="0"/>
        <w:spacing w:after="0" w:line="240" w:lineRule="auto"/>
        <w:jc w:val="both"/>
        <w:rPr>
          <w:rFonts w:ascii="Arial" w:hAnsi="Arial" w:cs="Arial"/>
          <w:sz w:val="24"/>
          <w:szCs w:val="24"/>
        </w:rPr>
      </w:pPr>
      <w:r w:rsidRPr="004B3B11">
        <w:rPr>
          <w:rFonts w:ascii="Arial" w:hAnsi="Arial" w:cs="Arial"/>
          <w:sz w:val="24"/>
          <w:szCs w:val="24"/>
        </w:rPr>
        <w:t>A recovery plan for BLS and ILS has been put into place and it is therefore hoped that compliance will be achieved by July 2020.</w:t>
      </w:r>
    </w:p>
    <w:p w:rsidR="00AC7BB5" w:rsidRPr="004B3B11" w:rsidRDefault="00AC7BB5" w:rsidP="00AC7BB5">
      <w:pPr>
        <w:autoSpaceDE w:val="0"/>
        <w:autoSpaceDN w:val="0"/>
        <w:adjustRightInd w:val="0"/>
        <w:spacing w:after="0" w:line="240" w:lineRule="auto"/>
        <w:jc w:val="both"/>
        <w:rPr>
          <w:rFonts w:ascii="Arial" w:hAnsi="Arial" w:cs="Arial"/>
          <w:sz w:val="24"/>
          <w:szCs w:val="24"/>
        </w:rPr>
      </w:pPr>
    </w:p>
    <w:p w:rsidR="00AC7BB5" w:rsidRPr="004B3B11" w:rsidRDefault="00AC7BB5" w:rsidP="00AC7BB5">
      <w:pPr>
        <w:autoSpaceDE w:val="0"/>
        <w:autoSpaceDN w:val="0"/>
        <w:adjustRightInd w:val="0"/>
        <w:spacing w:after="0" w:line="240" w:lineRule="auto"/>
        <w:jc w:val="both"/>
        <w:rPr>
          <w:rFonts w:ascii="Arial" w:hAnsi="Arial" w:cs="Arial"/>
          <w:sz w:val="24"/>
          <w:szCs w:val="24"/>
        </w:rPr>
      </w:pPr>
      <w:r w:rsidRPr="004B3B11">
        <w:rPr>
          <w:rFonts w:ascii="Arial" w:hAnsi="Arial" w:cs="Arial"/>
          <w:sz w:val="24"/>
          <w:szCs w:val="24"/>
        </w:rPr>
        <w:t xml:space="preserve">Patient handling continues to fall below the Trusts KPI and has seen an in-month decrease of 1.07%.  The L&amp;OD Team are currently working with the subject lead to develop an e-learning package to support an increase in compliance.  This will go live on ESR in June 2020. </w:t>
      </w:r>
    </w:p>
    <w:p w:rsidR="00AC7BB5" w:rsidRPr="004B3B11" w:rsidRDefault="00AC7BB5" w:rsidP="00AC7BB5">
      <w:pPr>
        <w:autoSpaceDE w:val="0"/>
        <w:autoSpaceDN w:val="0"/>
        <w:adjustRightInd w:val="0"/>
        <w:spacing w:after="0" w:line="240" w:lineRule="auto"/>
        <w:jc w:val="both"/>
        <w:rPr>
          <w:rFonts w:ascii="Arial" w:hAnsi="Arial" w:cs="Arial"/>
          <w:sz w:val="24"/>
          <w:szCs w:val="24"/>
        </w:rPr>
      </w:pPr>
    </w:p>
    <w:p w:rsidR="00AC7BB5" w:rsidRPr="004B3B11" w:rsidRDefault="00AC7BB5" w:rsidP="00AC7BB5">
      <w:pPr>
        <w:autoSpaceDE w:val="0"/>
        <w:autoSpaceDN w:val="0"/>
        <w:adjustRightInd w:val="0"/>
        <w:spacing w:after="0" w:line="240" w:lineRule="auto"/>
        <w:jc w:val="both"/>
        <w:rPr>
          <w:rFonts w:ascii="Arial" w:hAnsi="Arial" w:cs="Arial"/>
          <w:sz w:val="24"/>
          <w:szCs w:val="24"/>
        </w:rPr>
      </w:pPr>
      <w:r w:rsidRPr="004B3B11">
        <w:rPr>
          <w:rFonts w:ascii="Arial" w:hAnsi="Arial" w:cs="Arial"/>
          <w:sz w:val="24"/>
          <w:szCs w:val="24"/>
        </w:rPr>
        <w:t xml:space="preserve">The team are also working with the safeguarding team to increase compliance for Safeguarding Adults Level 3 which is currently only available as face to face training.  Additional sessions were made available during May, however compliance has remained static from the previous month.  Further sessions have been made available in June and July 2020. </w:t>
      </w:r>
    </w:p>
    <w:p w:rsidR="00AC7BB5" w:rsidRPr="004B3B11" w:rsidRDefault="00AC7BB5" w:rsidP="00AC7BB5">
      <w:pPr>
        <w:autoSpaceDE w:val="0"/>
        <w:autoSpaceDN w:val="0"/>
        <w:adjustRightInd w:val="0"/>
        <w:spacing w:after="0" w:line="240" w:lineRule="auto"/>
        <w:jc w:val="both"/>
        <w:rPr>
          <w:rFonts w:ascii="Arial" w:hAnsi="Arial" w:cs="Arial"/>
          <w:sz w:val="24"/>
          <w:szCs w:val="24"/>
        </w:rPr>
      </w:pPr>
    </w:p>
    <w:p w:rsidR="00AC7BB5" w:rsidRPr="004B3B11" w:rsidRDefault="00AC7BB5" w:rsidP="00AC7BB5">
      <w:pPr>
        <w:autoSpaceDE w:val="0"/>
        <w:autoSpaceDN w:val="0"/>
        <w:adjustRightInd w:val="0"/>
        <w:spacing w:after="0" w:line="240" w:lineRule="auto"/>
        <w:jc w:val="both"/>
        <w:rPr>
          <w:rFonts w:ascii="Arial" w:hAnsi="Arial" w:cs="Arial"/>
          <w:sz w:val="24"/>
          <w:szCs w:val="24"/>
        </w:rPr>
      </w:pPr>
      <w:r w:rsidRPr="004B3B11">
        <w:rPr>
          <w:rFonts w:ascii="Arial" w:hAnsi="Arial" w:cs="Arial"/>
          <w:sz w:val="24"/>
          <w:szCs w:val="24"/>
        </w:rPr>
        <w:lastRenderedPageBreak/>
        <w:t xml:space="preserve">Safeguarding Children Level 3 has been made available on ESR as an eLearning programme and although compliance remains below the Trust KPI, an in-month increase of 8.39% has been achieved. </w:t>
      </w:r>
    </w:p>
    <w:p w:rsidR="00AC7BB5" w:rsidRPr="004B3B11" w:rsidRDefault="00AC7BB5" w:rsidP="00AC7BB5">
      <w:pPr>
        <w:autoSpaceDE w:val="0"/>
        <w:autoSpaceDN w:val="0"/>
        <w:adjustRightInd w:val="0"/>
        <w:spacing w:after="0" w:line="240" w:lineRule="auto"/>
        <w:jc w:val="both"/>
        <w:rPr>
          <w:rFonts w:ascii="Arial" w:hAnsi="Arial" w:cs="Arial"/>
          <w:sz w:val="24"/>
          <w:szCs w:val="24"/>
        </w:rPr>
      </w:pPr>
    </w:p>
    <w:p w:rsidR="00AC7BB5" w:rsidRPr="004B3B11" w:rsidRDefault="00AC7BB5" w:rsidP="00AC7BB5">
      <w:pPr>
        <w:autoSpaceDE w:val="0"/>
        <w:autoSpaceDN w:val="0"/>
        <w:adjustRightInd w:val="0"/>
        <w:spacing w:after="0" w:line="240" w:lineRule="auto"/>
        <w:jc w:val="both"/>
        <w:rPr>
          <w:rFonts w:ascii="Arial" w:hAnsi="Arial" w:cs="Arial"/>
          <w:sz w:val="24"/>
          <w:szCs w:val="24"/>
        </w:rPr>
      </w:pPr>
      <w:r w:rsidRPr="004B3B11">
        <w:rPr>
          <w:rFonts w:ascii="Arial" w:hAnsi="Arial" w:cs="Arial"/>
          <w:sz w:val="24"/>
          <w:szCs w:val="24"/>
        </w:rPr>
        <w:t xml:space="preserve">The safeguarding team have put a recovery plan in place and they aim to have reached 90% compliance for both Safeguarding Adults and Children level 3 by the end June 2020. </w:t>
      </w:r>
    </w:p>
    <w:p w:rsidR="00AC7BB5" w:rsidRPr="004B3B11" w:rsidRDefault="00AC7BB5" w:rsidP="00AC7BB5">
      <w:pPr>
        <w:rPr>
          <w:rFonts w:ascii="Arial" w:hAnsi="Arial" w:cs="Arial"/>
          <w:sz w:val="24"/>
          <w:szCs w:val="24"/>
          <w:u w:val="single"/>
        </w:rPr>
      </w:pPr>
    </w:p>
    <w:p w:rsidR="00AC7BB5" w:rsidRPr="004B3B11" w:rsidRDefault="00AC7BB5" w:rsidP="00AC7BB5">
      <w:pPr>
        <w:rPr>
          <w:sz w:val="24"/>
          <w:szCs w:val="24"/>
        </w:rPr>
      </w:pPr>
      <w:r w:rsidRPr="004B3B11">
        <w:rPr>
          <w:rFonts w:ascii="Arial" w:hAnsi="Arial" w:cs="Arial"/>
          <w:sz w:val="24"/>
          <w:szCs w:val="24"/>
          <w:u w:val="single"/>
        </w:rPr>
        <w:t>Compliance by Directorate</w:t>
      </w:r>
    </w:p>
    <w:p w:rsidR="00AC7BB5" w:rsidRPr="004B3B11" w:rsidRDefault="00AC7BB5" w:rsidP="00AC7BB5">
      <w:pPr>
        <w:spacing w:after="0"/>
        <w:rPr>
          <w:rFonts w:ascii="Arial" w:hAnsi="Arial" w:cs="Arial"/>
          <w:sz w:val="24"/>
          <w:szCs w:val="24"/>
        </w:rPr>
      </w:pPr>
      <w:r w:rsidRPr="004B3B11">
        <w:rPr>
          <w:rFonts w:ascii="Arial" w:hAnsi="Arial" w:cs="Arial"/>
          <w:sz w:val="24"/>
          <w:szCs w:val="24"/>
        </w:rPr>
        <w:t>A breakdown of Directorate compliance, as at 31</w:t>
      </w:r>
      <w:r w:rsidRPr="004B3B11">
        <w:rPr>
          <w:rFonts w:ascii="Arial" w:hAnsi="Arial" w:cs="Arial"/>
          <w:sz w:val="24"/>
          <w:szCs w:val="24"/>
          <w:vertAlign w:val="superscript"/>
        </w:rPr>
        <w:t>st</w:t>
      </w:r>
      <w:r w:rsidRPr="004B3B11">
        <w:rPr>
          <w:rFonts w:ascii="Arial" w:hAnsi="Arial" w:cs="Arial"/>
          <w:sz w:val="24"/>
          <w:szCs w:val="24"/>
        </w:rPr>
        <w:t xml:space="preserve"> May 2020 is detailed below.</w:t>
      </w:r>
    </w:p>
    <w:p w:rsidR="00AC7BB5" w:rsidRPr="004B3B11" w:rsidRDefault="00AC7BB5" w:rsidP="00AC7BB5">
      <w:pPr>
        <w:spacing w:after="0"/>
        <w:rPr>
          <w:sz w:val="24"/>
          <w:szCs w:val="24"/>
        </w:rPr>
      </w:pPr>
    </w:p>
    <w:p w:rsidR="00AC7BB5" w:rsidRPr="00AC7BB5" w:rsidRDefault="00AC7BB5" w:rsidP="00AC7BB5">
      <w:pPr>
        <w:spacing w:after="0"/>
      </w:pPr>
      <w:r w:rsidRPr="00AC7BB5">
        <w:rPr>
          <w:noProof/>
          <w:lang w:eastAsia="en-GB"/>
        </w:rPr>
        <w:drawing>
          <wp:inline distT="0" distB="0" distL="0" distR="0" wp14:anchorId="1481489A" wp14:editId="3ECAFEC8">
            <wp:extent cx="5731510" cy="1035468"/>
            <wp:effectExtent l="0" t="0" r="254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4"/>
                    <a:stretch>
                      <a:fillRect/>
                    </a:stretch>
                  </pic:blipFill>
                  <pic:spPr>
                    <a:xfrm>
                      <a:off x="0" y="0"/>
                      <a:ext cx="5731510" cy="1035468"/>
                    </a:xfrm>
                    <a:prstGeom prst="rect">
                      <a:avLst/>
                    </a:prstGeom>
                  </pic:spPr>
                </pic:pic>
              </a:graphicData>
            </a:graphic>
          </wp:inline>
        </w:drawing>
      </w:r>
    </w:p>
    <w:p w:rsidR="00AC7BB5" w:rsidRPr="00AC7BB5" w:rsidRDefault="00AC7BB5" w:rsidP="00AC7BB5">
      <w:pPr>
        <w:spacing w:after="0"/>
        <w:rPr>
          <w:rFonts w:ascii="Arial" w:hAnsi="Arial" w:cs="Arial"/>
        </w:rPr>
      </w:pPr>
    </w:p>
    <w:p w:rsidR="00AC7BB5" w:rsidRPr="004B3B11" w:rsidRDefault="00AC7BB5" w:rsidP="00AC7BB5">
      <w:pPr>
        <w:spacing w:after="0"/>
        <w:rPr>
          <w:sz w:val="24"/>
        </w:rPr>
      </w:pPr>
      <w:r w:rsidRPr="004B3B11">
        <w:rPr>
          <w:rFonts w:ascii="Arial" w:hAnsi="Arial" w:cs="Arial"/>
          <w:sz w:val="24"/>
        </w:rPr>
        <w:t>All directorates are achieving their overall compliance for mandatory training</w:t>
      </w:r>
      <w:r w:rsidRPr="004B3B11">
        <w:rPr>
          <w:sz w:val="24"/>
        </w:rPr>
        <w:t>.</w:t>
      </w:r>
    </w:p>
    <w:p w:rsidR="00AC7BB5" w:rsidRPr="00AC7BB5" w:rsidRDefault="00AC7BB5" w:rsidP="00AC7BB5">
      <w:pPr>
        <w:spacing w:after="0"/>
      </w:pPr>
    </w:p>
    <w:p w:rsidR="00AC7BB5" w:rsidRPr="00AC7BB5" w:rsidRDefault="00AC7BB5" w:rsidP="00AC7BB5">
      <w:pPr>
        <w:spacing w:after="0"/>
      </w:pPr>
    </w:p>
    <w:tbl>
      <w:tblPr>
        <w:tblStyle w:val="TableGrid38"/>
        <w:tblW w:w="0" w:type="auto"/>
        <w:tblLook w:val="04A0" w:firstRow="1" w:lastRow="0" w:firstColumn="1" w:lastColumn="0" w:noHBand="0" w:noVBand="1"/>
      </w:tblPr>
      <w:tblGrid>
        <w:gridCol w:w="9710"/>
      </w:tblGrid>
      <w:tr w:rsidR="00AC7BB5" w:rsidRPr="00AC7BB5" w:rsidTr="001C3A18">
        <w:trPr>
          <w:trHeight w:val="499"/>
        </w:trPr>
        <w:tc>
          <w:tcPr>
            <w:tcW w:w="9710" w:type="dxa"/>
            <w:shd w:val="clear" w:color="auto" w:fill="92D050"/>
            <w:vAlign w:val="center"/>
          </w:tcPr>
          <w:p w:rsidR="00AC7BB5" w:rsidRPr="00AC7BB5" w:rsidRDefault="0085699D" w:rsidP="00AC7BB5">
            <w:r>
              <w:rPr>
                <w:rFonts w:ascii="Arial" w:hAnsi="Arial" w:cs="Arial"/>
                <w:b/>
                <w:sz w:val="24"/>
                <w:szCs w:val="24"/>
              </w:rPr>
              <w:t>3.5</w:t>
            </w:r>
            <w:r w:rsidR="00AC7BB5" w:rsidRPr="00AC7BB5">
              <w:rPr>
                <w:rFonts w:ascii="Arial" w:hAnsi="Arial" w:cs="Arial"/>
                <w:b/>
                <w:sz w:val="24"/>
                <w:szCs w:val="24"/>
              </w:rPr>
              <w:t>.5 PADR Compliance</w:t>
            </w:r>
          </w:p>
        </w:tc>
      </w:tr>
    </w:tbl>
    <w:p w:rsidR="00AC7BB5" w:rsidRPr="00AC7BB5" w:rsidRDefault="00AC7BB5" w:rsidP="00AC7BB5">
      <w:pPr>
        <w:spacing w:after="0"/>
      </w:pPr>
    </w:p>
    <w:p w:rsidR="00AC7BB5" w:rsidRPr="004B3B11" w:rsidRDefault="00AC7BB5" w:rsidP="00AC7BB5">
      <w:pPr>
        <w:jc w:val="both"/>
        <w:rPr>
          <w:rFonts w:ascii="Arial" w:hAnsi="Arial" w:cs="Arial"/>
          <w:sz w:val="24"/>
        </w:rPr>
      </w:pPr>
      <w:r w:rsidRPr="004B3B11">
        <w:rPr>
          <w:rFonts w:ascii="Arial" w:hAnsi="Arial" w:cs="Arial"/>
          <w:sz w:val="24"/>
        </w:rPr>
        <w:t xml:space="preserve">Overall Trust compliance for PADRs as at May 2020 is 85.39%, which is below the target of 95% and a decline of 2.96% from the previous month.  </w:t>
      </w:r>
    </w:p>
    <w:p w:rsidR="00AC7BB5" w:rsidRPr="00AC7BB5" w:rsidRDefault="00AC7BB5" w:rsidP="00AC7BB5">
      <w:pPr>
        <w:spacing w:after="0"/>
      </w:pPr>
      <w:r w:rsidRPr="00AC7BB5">
        <w:rPr>
          <w:noProof/>
          <w:lang w:eastAsia="en-GB"/>
        </w:rPr>
        <w:drawing>
          <wp:inline distT="0" distB="0" distL="0" distR="0" wp14:anchorId="0C9D1966" wp14:editId="01E41043">
            <wp:extent cx="5588000" cy="2410691"/>
            <wp:effectExtent l="0" t="0" r="12700" b="27940"/>
            <wp:docPr id="43" name="Chart 43"/>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p>
    <w:p w:rsidR="00AC7BB5" w:rsidRPr="00AC7BB5" w:rsidRDefault="00AC7BB5" w:rsidP="00AC7BB5">
      <w:pPr>
        <w:spacing w:after="0" w:line="240" w:lineRule="auto"/>
        <w:rPr>
          <w:rFonts w:ascii="Arial" w:hAnsi="Arial" w:cs="Arial"/>
          <w:sz w:val="24"/>
          <w:szCs w:val="24"/>
          <w:u w:val="single"/>
        </w:rPr>
      </w:pPr>
    </w:p>
    <w:p w:rsidR="00AC7BB5" w:rsidRPr="00AC7BB5" w:rsidRDefault="00AC7BB5" w:rsidP="00AC7BB5">
      <w:pPr>
        <w:spacing w:after="0" w:line="240" w:lineRule="auto"/>
        <w:rPr>
          <w:rFonts w:ascii="Arial" w:hAnsi="Arial" w:cs="Arial"/>
          <w:sz w:val="24"/>
          <w:szCs w:val="24"/>
          <w:u w:val="single"/>
        </w:rPr>
      </w:pPr>
      <w:r w:rsidRPr="00AC7BB5">
        <w:rPr>
          <w:rFonts w:ascii="Arial" w:hAnsi="Arial" w:cs="Arial"/>
          <w:sz w:val="24"/>
          <w:szCs w:val="24"/>
          <w:u w:val="single"/>
        </w:rPr>
        <w:t>PADR Compliance by Directorate</w:t>
      </w:r>
    </w:p>
    <w:p w:rsidR="00AC7BB5" w:rsidRPr="00AC7BB5" w:rsidRDefault="00AC7BB5" w:rsidP="00AC7BB5">
      <w:pPr>
        <w:spacing w:after="0" w:line="240" w:lineRule="auto"/>
        <w:rPr>
          <w:rFonts w:ascii="Arial" w:hAnsi="Arial" w:cs="Arial"/>
          <w:sz w:val="24"/>
          <w:szCs w:val="24"/>
          <w:u w:val="single"/>
        </w:rPr>
      </w:pPr>
    </w:p>
    <w:p w:rsidR="00AC7BB5" w:rsidRPr="004B3B11" w:rsidRDefault="00AC7BB5" w:rsidP="00AC7BB5">
      <w:pPr>
        <w:jc w:val="both"/>
        <w:rPr>
          <w:rFonts w:ascii="Arial" w:hAnsi="Arial" w:cs="Arial"/>
          <w:sz w:val="24"/>
        </w:rPr>
      </w:pPr>
      <w:r w:rsidRPr="004B3B11">
        <w:rPr>
          <w:rFonts w:ascii="Arial" w:hAnsi="Arial" w:cs="Arial"/>
          <w:sz w:val="24"/>
        </w:rPr>
        <w:t>All directorates with the exception of Service Improvement are underperforming against the target.</w:t>
      </w:r>
    </w:p>
    <w:p w:rsidR="00AC7BB5" w:rsidRPr="00AC7BB5" w:rsidRDefault="00AC7BB5" w:rsidP="00AC7BB5">
      <w:pPr>
        <w:spacing w:after="0"/>
      </w:pPr>
      <w:r w:rsidRPr="00AC7BB5">
        <w:rPr>
          <w:noProof/>
          <w:lang w:eastAsia="en-GB"/>
        </w:rPr>
        <w:lastRenderedPageBreak/>
        <w:drawing>
          <wp:inline distT="0" distB="0" distL="0" distR="0" wp14:anchorId="25508247" wp14:editId="1CA2B085">
            <wp:extent cx="5731510" cy="1100989"/>
            <wp:effectExtent l="0" t="0" r="2540" b="4445"/>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6"/>
                    <a:stretch>
                      <a:fillRect/>
                    </a:stretch>
                  </pic:blipFill>
                  <pic:spPr>
                    <a:xfrm>
                      <a:off x="0" y="0"/>
                      <a:ext cx="5731510" cy="1100989"/>
                    </a:xfrm>
                    <a:prstGeom prst="rect">
                      <a:avLst/>
                    </a:prstGeom>
                  </pic:spPr>
                </pic:pic>
              </a:graphicData>
            </a:graphic>
          </wp:inline>
        </w:drawing>
      </w:r>
    </w:p>
    <w:p w:rsidR="00AC7BB5" w:rsidRPr="00AC7BB5" w:rsidRDefault="00AC7BB5" w:rsidP="00AC7BB5">
      <w:pPr>
        <w:spacing w:after="0"/>
      </w:pPr>
    </w:p>
    <w:p w:rsidR="00AC7BB5" w:rsidRPr="00AC7BB5" w:rsidRDefault="00AC7BB5" w:rsidP="00AC7BB5">
      <w:pPr>
        <w:spacing w:after="0"/>
      </w:pPr>
    </w:p>
    <w:tbl>
      <w:tblPr>
        <w:tblStyle w:val="TableGrid38"/>
        <w:tblW w:w="0" w:type="auto"/>
        <w:tblLook w:val="04A0" w:firstRow="1" w:lastRow="0" w:firstColumn="1" w:lastColumn="0" w:noHBand="0" w:noVBand="1"/>
      </w:tblPr>
      <w:tblGrid>
        <w:gridCol w:w="9603"/>
      </w:tblGrid>
      <w:tr w:rsidR="00AC7BB5" w:rsidRPr="00AC7BB5" w:rsidTr="001C3A18">
        <w:trPr>
          <w:trHeight w:val="432"/>
        </w:trPr>
        <w:tc>
          <w:tcPr>
            <w:tcW w:w="9603" w:type="dxa"/>
            <w:shd w:val="clear" w:color="auto" w:fill="92D050"/>
            <w:vAlign w:val="center"/>
          </w:tcPr>
          <w:p w:rsidR="00AC7BB5" w:rsidRPr="00AC7BB5" w:rsidRDefault="0085699D" w:rsidP="00AC7BB5">
            <w:r>
              <w:rPr>
                <w:rFonts w:ascii="Arial" w:hAnsi="Arial" w:cs="Arial"/>
                <w:b/>
                <w:sz w:val="24"/>
                <w:szCs w:val="24"/>
              </w:rPr>
              <w:t>3.5</w:t>
            </w:r>
            <w:r w:rsidR="00AC7BB5" w:rsidRPr="00AC7BB5">
              <w:rPr>
                <w:rFonts w:ascii="Arial" w:hAnsi="Arial" w:cs="Arial"/>
                <w:b/>
                <w:sz w:val="24"/>
                <w:szCs w:val="24"/>
              </w:rPr>
              <w:t>.6 Staff Experience</w:t>
            </w:r>
          </w:p>
        </w:tc>
      </w:tr>
    </w:tbl>
    <w:p w:rsidR="00AC7BB5" w:rsidRPr="00AC7BB5" w:rsidRDefault="00AC7BB5" w:rsidP="00AC7BB5">
      <w:pPr>
        <w:spacing w:after="0"/>
      </w:pPr>
    </w:p>
    <w:p w:rsidR="00AC7BB5" w:rsidRPr="00AC7BB5" w:rsidRDefault="00AC7BB5" w:rsidP="00AC7BB5">
      <w:pPr>
        <w:spacing w:after="0"/>
        <w:jc w:val="both"/>
        <w:rPr>
          <w:rFonts w:ascii="Arial" w:hAnsi="Arial" w:cs="Arial"/>
          <w:b/>
          <w:bCs/>
          <w:sz w:val="24"/>
          <w:szCs w:val="24"/>
          <w:u w:val="single"/>
        </w:rPr>
      </w:pPr>
      <w:r w:rsidRPr="00AC7BB5">
        <w:rPr>
          <w:rFonts w:ascii="Arial" w:hAnsi="Arial" w:cs="Arial"/>
          <w:b/>
          <w:sz w:val="24"/>
          <w:szCs w:val="24"/>
          <w:u w:val="single"/>
        </w:rPr>
        <w:t xml:space="preserve">Staff Friends and Family Test </w:t>
      </w:r>
    </w:p>
    <w:p w:rsidR="00AC7BB5" w:rsidRPr="00AC7BB5" w:rsidRDefault="00AC7BB5" w:rsidP="00AC7BB5">
      <w:pPr>
        <w:spacing w:after="0"/>
      </w:pPr>
    </w:p>
    <w:p w:rsidR="00AC7BB5" w:rsidRPr="004B3B11" w:rsidRDefault="00AC7BB5" w:rsidP="00AC7BB5">
      <w:pPr>
        <w:autoSpaceDE w:val="0"/>
        <w:autoSpaceDN w:val="0"/>
        <w:adjustRightInd w:val="0"/>
        <w:spacing w:after="0" w:line="240" w:lineRule="auto"/>
        <w:rPr>
          <w:rFonts w:ascii="Arial" w:hAnsi="Arial" w:cs="Arial"/>
          <w:color w:val="000000"/>
          <w:sz w:val="24"/>
        </w:rPr>
      </w:pPr>
      <w:r w:rsidRPr="004B3B11">
        <w:rPr>
          <w:rFonts w:ascii="Arial" w:hAnsi="Arial" w:cs="Arial"/>
          <w:color w:val="000000"/>
          <w:sz w:val="24"/>
          <w:lang w:eastAsia="en-GB"/>
        </w:rPr>
        <w:t>The Staff Friends and Family Survey for Q1 2020/2021 launched on Monday 1</w:t>
      </w:r>
      <w:r w:rsidRPr="004B3B11">
        <w:rPr>
          <w:rFonts w:ascii="Arial" w:hAnsi="Arial" w:cs="Arial"/>
          <w:color w:val="000000"/>
          <w:sz w:val="24"/>
          <w:vertAlign w:val="superscript"/>
          <w:lang w:eastAsia="en-GB"/>
        </w:rPr>
        <w:t>st</w:t>
      </w:r>
      <w:r w:rsidRPr="004B3B11">
        <w:rPr>
          <w:rFonts w:ascii="Arial" w:hAnsi="Arial" w:cs="Arial"/>
          <w:color w:val="000000"/>
          <w:sz w:val="24"/>
          <w:lang w:eastAsia="en-GB"/>
        </w:rPr>
        <w:t xml:space="preserve"> June and will run until Friday 26</w:t>
      </w:r>
      <w:r w:rsidRPr="004B3B11">
        <w:rPr>
          <w:rFonts w:ascii="Arial" w:hAnsi="Arial" w:cs="Arial"/>
          <w:color w:val="000000"/>
          <w:sz w:val="24"/>
          <w:vertAlign w:val="superscript"/>
          <w:lang w:eastAsia="en-GB"/>
        </w:rPr>
        <w:t>th</w:t>
      </w:r>
      <w:r w:rsidRPr="004B3B11">
        <w:rPr>
          <w:rFonts w:ascii="Arial" w:hAnsi="Arial" w:cs="Arial"/>
          <w:color w:val="000000"/>
          <w:sz w:val="24"/>
          <w:lang w:eastAsia="en-GB"/>
        </w:rPr>
        <w:t xml:space="preserve"> June. </w:t>
      </w:r>
      <w:r w:rsidRPr="004B3B11">
        <w:rPr>
          <w:rFonts w:ascii="Arial" w:hAnsi="Arial" w:cs="Arial"/>
          <w:color w:val="000000"/>
          <w:sz w:val="24"/>
        </w:rPr>
        <w:t>Four additional questions have been added to the survey to act as a ‘pulse check’ for our improvement journeys. These questions focus on Health and Wellbeing, Morale and Staff Engagement.</w:t>
      </w:r>
    </w:p>
    <w:p w:rsidR="00AC7BB5" w:rsidRPr="004B3B11" w:rsidRDefault="00AC7BB5" w:rsidP="00AC7BB5">
      <w:pPr>
        <w:autoSpaceDE w:val="0"/>
        <w:autoSpaceDN w:val="0"/>
        <w:adjustRightInd w:val="0"/>
        <w:spacing w:after="0" w:line="240" w:lineRule="auto"/>
        <w:rPr>
          <w:rFonts w:ascii="Arial" w:hAnsi="Arial" w:cs="Arial"/>
          <w:color w:val="000000"/>
          <w:sz w:val="24"/>
        </w:rPr>
      </w:pPr>
    </w:p>
    <w:p w:rsidR="00AC7BB5" w:rsidRPr="004B3B11" w:rsidRDefault="00AC7BB5" w:rsidP="00AC7BB5">
      <w:pPr>
        <w:autoSpaceDE w:val="0"/>
        <w:autoSpaceDN w:val="0"/>
        <w:adjustRightInd w:val="0"/>
        <w:spacing w:after="0" w:line="240" w:lineRule="auto"/>
        <w:rPr>
          <w:rFonts w:ascii="Arial" w:hAnsi="Arial" w:cs="Arial"/>
          <w:color w:val="000000"/>
          <w:sz w:val="24"/>
        </w:rPr>
      </w:pPr>
      <w:r w:rsidRPr="004B3B11">
        <w:rPr>
          <w:rFonts w:ascii="Arial" w:hAnsi="Arial" w:cs="Arial"/>
          <w:color w:val="000000"/>
          <w:sz w:val="24"/>
        </w:rPr>
        <w:t xml:space="preserve">Staff can complete the survey via the email invite from Quality Health, our survey provider or by an open link. The survey scores and completion rates will form part of Directorate Performance Reviews. </w:t>
      </w:r>
    </w:p>
    <w:p w:rsidR="000377B3" w:rsidRDefault="000377B3">
      <w:pPr>
        <w:rPr>
          <w:rFonts w:ascii="Arial" w:hAnsi="Arial" w:cs="Arial"/>
          <w:b/>
          <w:sz w:val="32"/>
          <w:szCs w:val="24"/>
          <w:highlight w:val="yellow"/>
        </w:rPr>
      </w:pPr>
    </w:p>
    <w:p w:rsidR="0085699D" w:rsidRDefault="0085699D" w:rsidP="00603DCF">
      <w:pPr>
        <w:spacing w:after="0" w:line="240" w:lineRule="auto"/>
        <w:ind w:left="-426"/>
        <w:jc w:val="both"/>
        <w:rPr>
          <w:rFonts w:ascii="Arial" w:hAnsi="Arial" w:cs="Arial"/>
          <w:b/>
          <w:sz w:val="32"/>
          <w:szCs w:val="24"/>
          <w:highlight w:val="yellow"/>
        </w:rPr>
      </w:pPr>
    </w:p>
    <w:p w:rsidR="0085699D" w:rsidRPr="00AC7BB5" w:rsidRDefault="0085699D" w:rsidP="0085699D">
      <w:pPr>
        <w:spacing w:after="0" w:line="240" w:lineRule="auto"/>
        <w:ind w:left="-426"/>
        <w:jc w:val="both"/>
        <w:rPr>
          <w:rFonts w:ascii="Arial" w:hAnsi="Arial" w:cs="Arial"/>
          <w:b/>
          <w:sz w:val="32"/>
          <w:szCs w:val="24"/>
        </w:rPr>
      </w:pPr>
      <w:r>
        <w:rPr>
          <w:rFonts w:ascii="Arial" w:hAnsi="Arial" w:cs="Arial"/>
          <w:b/>
          <w:sz w:val="32"/>
          <w:szCs w:val="24"/>
        </w:rPr>
        <w:t>3.6</w:t>
      </w:r>
      <w:r w:rsidRPr="00AC7BB5">
        <w:rPr>
          <w:rFonts w:ascii="Arial" w:hAnsi="Arial" w:cs="Arial"/>
          <w:b/>
          <w:sz w:val="32"/>
          <w:szCs w:val="24"/>
        </w:rPr>
        <w:t xml:space="preserve"> </w:t>
      </w:r>
      <w:r>
        <w:rPr>
          <w:rFonts w:ascii="Arial" w:hAnsi="Arial" w:cs="Arial"/>
          <w:b/>
          <w:sz w:val="32"/>
          <w:szCs w:val="24"/>
        </w:rPr>
        <w:t>Finance</w:t>
      </w:r>
    </w:p>
    <w:p w:rsidR="00AC7BB5" w:rsidRDefault="00AC7BB5" w:rsidP="00603DCF">
      <w:pPr>
        <w:spacing w:after="0" w:line="240" w:lineRule="auto"/>
        <w:ind w:left="-426"/>
        <w:jc w:val="both"/>
        <w:rPr>
          <w:rFonts w:ascii="Arial" w:hAnsi="Arial" w:cs="Arial"/>
          <w:b/>
          <w:sz w:val="32"/>
          <w:szCs w:val="24"/>
          <w:highlight w:val="yellow"/>
        </w:rPr>
      </w:pPr>
    </w:p>
    <w:p w:rsidR="00B733BC" w:rsidRPr="001C3A18" w:rsidRDefault="00B733BC" w:rsidP="00EE0ACF">
      <w:pPr>
        <w:pStyle w:val="ListParagraph"/>
        <w:spacing w:after="0" w:line="240" w:lineRule="auto"/>
        <w:rPr>
          <w:rFonts w:ascii="Arial" w:hAnsi="Arial" w:cs="Arial"/>
          <w:sz w:val="24"/>
          <w:szCs w:val="24"/>
        </w:rPr>
      </w:pPr>
    </w:p>
    <w:p w:rsidR="00AC5DA9" w:rsidRPr="00EC19F3" w:rsidRDefault="001C3A18" w:rsidP="001C3A18">
      <w:pPr>
        <w:pStyle w:val="ListParagraph"/>
        <w:ind w:left="-567" w:firstLine="141"/>
        <w:jc w:val="both"/>
        <w:rPr>
          <w:rFonts w:ascii="Arial" w:hAnsi="Arial" w:cs="Arial"/>
          <w:highlight w:val="yellow"/>
        </w:rPr>
      </w:pPr>
      <w:r w:rsidRPr="001C3A18">
        <w:rPr>
          <w:rFonts w:ascii="Arial" w:hAnsi="Arial" w:cs="Arial"/>
          <w:sz w:val="24"/>
          <w:szCs w:val="24"/>
        </w:rPr>
        <w:t>The Month 2 Finance information is not yet available.</w:t>
      </w:r>
    </w:p>
    <w:p w:rsidR="00AC5DA9" w:rsidRPr="00EC19F3" w:rsidRDefault="00AC5DA9" w:rsidP="00AC5DA9">
      <w:pPr>
        <w:pStyle w:val="ListParagraph"/>
        <w:ind w:left="-567"/>
        <w:jc w:val="both"/>
        <w:rPr>
          <w:rFonts w:ascii="Arial" w:hAnsi="Arial" w:cs="Arial"/>
          <w:sz w:val="24"/>
          <w:szCs w:val="24"/>
          <w:highlight w:val="yellow"/>
        </w:rPr>
      </w:pPr>
    </w:p>
    <w:sectPr w:rsidR="00AC5DA9" w:rsidRPr="00EC19F3" w:rsidSect="008B348A">
      <w:headerReference w:type="even" r:id="rId47"/>
      <w:headerReference w:type="default" r:id="rId48"/>
      <w:footerReference w:type="even" r:id="rId49"/>
      <w:footerReference w:type="default" r:id="rId50"/>
      <w:headerReference w:type="first" r:id="rId51"/>
      <w:footerReference w:type="first" r:id="rId52"/>
      <w:pgSz w:w="11907" w:h="16839" w:code="9"/>
      <w:pgMar w:top="851" w:right="709" w:bottom="851"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74EC" w:rsidRDefault="008674EC" w:rsidP="00C47609">
      <w:pPr>
        <w:spacing w:after="0" w:line="240" w:lineRule="auto"/>
      </w:pPr>
      <w:r>
        <w:separator/>
      </w:r>
    </w:p>
  </w:endnote>
  <w:endnote w:type="continuationSeparator" w:id="0">
    <w:p w:rsidR="008674EC" w:rsidRDefault="008674EC" w:rsidP="00C476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74EC" w:rsidRDefault="008674E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60301528"/>
      <w:docPartObj>
        <w:docPartGallery w:val="Page Numbers (Bottom of Page)"/>
        <w:docPartUnique/>
      </w:docPartObj>
    </w:sdtPr>
    <w:sdtEndPr>
      <w:rPr>
        <w:rFonts w:ascii="Arial" w:hAnsi="Arial" w:cs="Arial"/>
        <w:noProof/>
      </w:rPr>
    </w:sdtEndPr>
    <w:sdtContent>
      <w:p w:rsidR="008674EC" w:rsidRPr="00AC5DA9" w:rsidRDefault="008674EC">
        <w:pPr>
          <w:pStyle w:val="Footer"/>
          <w:jc w:val="right"/>
          <w:rPr>
            <w:rFonts w:ascii="Arial" w:hAnsi="Arial" w:cs="Arial"/>
          </w:rPr>
        </w:pPr>
        <w:r w:rsidRPr="00AC5DA9">
          <w:rPr>
            <w:rFonts w:ascii="Arial" w:hAnsi="Arial" w:cs="Arial"/>
          </w:rPr>
          <w:fldChar w:fldCharType="begin"/>
        </w:r>
        <w:r w:rsidRPr="00AC5DA9">
          <w:rPr>
            <w:rFonts w:ascii="Arial" w:hAnsi="Arial" w:cs="Arial"/>
          </w:rPr>
          <w:instrText xml:space="preserve"> PAGE   \* MERGEFORMAT </w:instrText>
        </w:r>
        <w:r w:rsidRPr="00AC5DA9">
          <w:rPr>
            <w:rFonts w:ascii="Arial" w:hAnsi="Arial" w:cs="Arial"/>
          </w:rPr>
          <w:fldChar w:fldCharType="separate"/>
        </w:r>
        <w:r w:rsidR="000461A0">
          <w:rPr>
            <w:rFonts w:ascii="Arial" w:hAnsi="Arial" w:cs="Arial"/>
            <w:noProof/>
          </w:rPr>
          <w:t>1</w:t>
        </w:r>
        <w:r w:rsidRPr="00AC5DA9">
          <w:rPr>
            <w:rFonts w:ascii="Arial" w:hAnsi="Arial" w:cs="Arial"/>
            <w:noProof/>
          </w:rPr>
          <w:fldChar w:fldCharType="end"/>
        </w:r>
      </w:p>
    </w:sdtContent>
  </w:sdt>
  <w:p w:rsidR="008674EC" w:rsidRPr="00AC5DA9" w:rsidRDefault="008674EC" w:rsidP="00AC5DA9">
    <w:pPr>
      <w:pStyle w:val="Footer"/>
      <w:ind w:left="-567"/>
      <w:rPr>
        <w:rFonts w:ascii="Arial" w:hAnsi="Arial" w:cs="Arial"/>
      </w:rPr>
    </w:pPr>
    <w:r w:rsidRPr="00AC5DA9">
      <w:rPr>
        <w:rFonts w:ascii="Arial" w:hAnsi="Arial" w:cs="Arial"/>
      </w:rPr>
      <w:t xml:space="preserve">IPR Month </w:t>
    </w:r>
    <w:r>
      <w:rPr>
        <w:rFonts w:ascii="Arial" w:hAnsi="Arial" w:cs="Arial"/>
      </w:rPr>
      <w:t>2</w:t>
    </w:r>
    <w:r w:rsidRPr="00AC5DA9">
      <w:rPr>
        <w:rFonts w:ascii="Arial" w:hAnsi="Arial" w:cs="Arial"/>
      </w:rPr>
      <w:t xml:space="preserve"> 20</w:t>
    </w:r>
    <w:r>
      <w:rPr>
        <w:rFonts w:ascii="Arial" w:hAnsi="Arial" w:cs="Arial"/>
      </w:rPr>
      <w:t>20/2021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74EC" w:rsidRDefault="008674E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74EC" w:rsidRDefault="008674EC" w:rsidP="00C47609">
      <w:pPr>
        <w:spacing w:after="0" w:line="240" w:lineRule="auto"/>
      </w:pPr>
      <w:r>
        <w:separator/>
      </w:r>
    </w:p>
  </w:footnote>
  <w:footnote w:type="continuationSeparator" w:id="0">
    <w:p w:rsidR="008674EC" w:rsidRDefault="008674EC" w:rsidP="00C4760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74EC" w:rsidRDefault="008674E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74EC" w:rsidRPr="001879F0" w:rsidRDefault="008674EC" w:rsidP="001879F0">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74EC" w:rsidRDefault="008674E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375E7"/>
    <w:multiLevelType w:val="hybridMultilevel"/>
    <w:tmpl w:val="2CD0AE3C"/>
    <w:lvl w:ilvl="0" w:tplc="A52E7C2A">
      <w:start w:val="1"/>
      <w:numFmt w:val="bullet"/>
      <w:lvlText w:val=""/>
      <w:lvlJc w:val="left"/>
      <w:pPr>
        <w:ind w:left="360" w:hanging="360"/>
      </w:pPr>
      <w:rPr>
        <w:rFonts w:ascii="Symbol" w:hAnsi="Symbol" w:hint="default"/>
        <w:sz w:val="22"/>
        <w:szCs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0CD0281F"/>
    <w:multiLevelType w:val="hybridMultilevel"/>
    <w:tmpl w:val="C41E4B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10680907"/>
    <w:multiLevelType w:val="hybridMultilevel"/>
    <w:tmpl w:val="2B387C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5576115"/>
    <w:multiLevelType w:val="hybridMultilevel"/>
    <w:tmpl w:val="3C1A15A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1592405B"/>
    <w:multiLevelType w:val="hybridMultilevel"/>
    <w:tmpl w:val="650E5DA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5">
    <w:nsid w:val="1A87601B"/>
    <w:multiLevelType w:val="hybridMultilevel"/>
    <w:tmpl w:val="8CC26FE4"/>
    <w:lvl w:ilvl="0" w:tplc="08090001">
      <w:start w:val="1"/>
      <w:numFmt w:val="bullet"/>
      <w:lvlText w:val=""/>
      <w:lvlJc w:val="left"/>
      <w:pPr>
        <w:ind w:left="294" w:hanging="360"/>
      </w:pPr>
      <w:rPr>
        <w:rFonts w:ascii="Symbol" w:hAnsi="Symbol" w:hint="default"/>
      </w:rPr>
    </w:lvl>
    <w:lvl w:ilvl="1" w:tplc="08090003" w:tentative="1">
      <w:start w:val="1"/>
      <w:numFmt w:val="bullet"/>
      <w:lvlText w:val="o"/>
      <w:lvlJc w:val="left"/>
      <w:pPr>
        <w:ind w:left="1014" w:hanging="360"/>
      </w:pPr>
      <w:rPr>
        <w:rFonts w:ascii="Courier New" w:hAnsi="Courier New" w:cs="Courier New" w:hint="default"/>
      </w:rPr>
    </w:lvl>
    <w:lvl w:ilvl="2" w:tplc="08090005" w:tentative="1">
      <w:start w:val="1"/>
      <w:numFmt w:val="bullet"/>
      <w:lvlText w:val=""/>
      <w:lvlJc w:val="left"/>
      <w:pPr>
        <w:ind w:left="1734" w:hanging="360"/>
      </w:pPr>
      <w:rPr>
        <w:rFonts w:ascii="Wingdings" w:hAnsi="Wingdings" w:hint="default"/>
      </w:rPr>
    </w:lvl>
    <w:lvl w:ilvl="3" w:tplc="08090001" w:tentative="1">
      <w:start w:val="1"/>
      <w:numFmt w:val="bullet"/>
      <w:lvlText w:val=""/>
      <w:lvlJc w:val="left"/>
      <w:pPr>
        <w:ind w:left="2454" w:hanging="360"/>
      </w:pPr>
      <w:rPr>
        <w:rFonts w:ascii="Symbol" w:hAnsi="Symbol" w:hint="default"/>
      </w:rPr>
    </w:lvl>
    <w:lvl w:ilvl="4" w:tplc="08090003" w:tentative="1">
      <w:start w:val="1"/>
      <w:numFmt w:val="bullet"/>
      <w:lvlText w:val="o"/>
      <w:lvlJc w:val="left"/>
      <w:pPr>
        <w:ind w:left="3174" w:hanging="360"/>
      </w:pPr>
      <w:rPr>
        <w:rFonts w:ascii="Courier New" w:hAnsi="Courier New" w:cs="Courier New" w:hint="default"/>
      </w:rPr>
    </w:lvl>
    <w:lvl w:ilvl="5" w:tplc="08090005" w:tentative="1">
      <w:start w:val="1"/>
      <w:numFmt w:val="bullet"/>
      <w:lvlText w:val=""/>
      <w:lvlJc w:val="left"/>
      <w:pPr>
        <w:ind w:left="3894" w:hanging="360"/>
      </w:pPr>
      <w:rPr>
        <w:rFonts w:ascii="Wingdings" w:hAnsi="Wingdings" w:hint="default"/>
      </w:rPr>
    </w:lvl>
    <w:lvl w:ilvl="6" w:tplc="08090001" w:tentative="1">
      <w:start w:val="1"/>
      <w:numFmt w:val="bullet"/>
      <w:lvlText w:val=""/>
      <w:lvlJc w:val="left"/>
      <w:pPr>
        <w:ind w:left="4614" w:hanging="360"/>
      </w:pPr>
      <w:rPr>
        <w:rFonts w:ascii="Symbol" w:hAnsi="Symbol" w:hint="default"/>
      </w:rPr>
    </w:lvl>
    <w:lvl w:ilvl="7" w:tplc="08090003" w:tentative="1">
      <w:start w:val="1"/>
      <w:numFmt w:val="bullet"/>
      <w:lvlText w:val="o"/>
      <w:lvlJc w:val="left"/>
      <w:pPr>
        <w:ind w:left="5334" w:hanging="360"/>
      </w:pPr>
      <w:rPr>
        <w:rFonts w:ascii="Courier New" w:hAnsi="Courier New" w:cs="Courier New" w:hint="default"/>
      </w:rPr>
    </w:lvl>
    <w:lvl w:ilvl="8" w:tplc="08090005" w:tentative="1">
      <w:start w:val="1"/>
      <w:numFmt w:val="bullet"/>
      <w:lvlText w:val=""/>
      <w:lvlJc w:val="left"/>
      <w:pPr>
        <w:ind w:left="6054" w:hanging="360"/>
      </w:pPr>
      <w:rPr>
        <w:rFonts w:ascii="Wingdings" w:hAnsi="Wingdings" w:hint="default"/>
      </w:rPr>
    </w:lvl>
  </w:abstractNum>
  <w:abstractNum w:abstractNumId="6">
    <w:nsid w:val="1A90487A"/>
    <w:multiLevelType w:val="hybridMultilevel"/>
    <w:tmpl w:val="581EE69C"/>
    <w:lvl w:ilvl="0" w:tplc="08090003">
      <w:start w:val="1"/>
      <w:numFmt w:val="bullet"/>
      <w:lvlText w:val="o"/>
      <w:lvlJc w:val="left"/>
      <w:pPr>
        <w:ind w:left="360" w:hanging="360"/>
      </w:pPr>
      <w:rPr>
        <w:rFonts w:ascii="Courier New" w:hAnsi="Courier New" w:cs="Courier New"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7">
    <w:nsid w:val="1C3840B7"/>
    <w:multiLevelType w:val="hybridMultilevel"/>
    <w:tmpl w:val="B616D9D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nsid w:val="1EA43C9E"/>
    <w:multiLevelType w:val="hybridMultilevel"/>
    <w:tmpl w:val="BED475D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1F861D6D"/>
    <w:multiLevelType w:val="hybridMultilevel"/>
    <w:tmpl w:val="40A6B5D4"/>
    <w:lvl w:ilvl="0" w:tplc="08090001">
      <w:start w:val="1"/>
      <w:numFmt w:val="bullet"/>
      <w:lvlText w:val=""/>
      <w:lvlJc w:val="left"/>
      <w:pPr>
        <w:ind w:left="294" w:hanging="360"/>
      </w:pPr>
      <w:rPr>
        <w:rFonts w:ascii="Symbol" w:hAnsi="Symbol" w:hint="default"/>
      </w:rPr>
    </w:lvl>
    <w:lvl w:ilvl="1" w:tplc="08090003" w:tentative="1">
      <w:start w:val="1"/>
      <w:numFmt w:val="bullet"/>
      <w:lvlText w:val="o"/>
      <w:lvlJc w:val="left"/>
      <w:pPr>
        <w:ind w:left="1014" w:hanging="360"/>
      </w:pPr>
      <w:rPr>
        <w:rFonts w:ascii="Courier New" w:hAnsi="Courier New" w:cs="Courier New" w:hint="default"/>
      </w:rPr>
    </w:lvl>
    <w:lvl w:ilvl="2" w:tplc="08090005" w:tentative="1">
      <w:start w:val="1"/>
      <w:numFmt w:val="bullet"/>
      <w:lvlText w:val=""/>
      <w:lvlJc w:val="left"/>
      <w:pPr>
        <w:ind w:left="1734" w:hanging="360"/>
      </w:pPr>
      <w:rPr>
        <w:rFonts w:ascii="Wingdings" w:hAnsi="Wingdings" w:hint="default"/>
      </w:rPr>
    </w:lvl>
    <w:lvl w:ilvl="3" w:tplc="08090001" w:tentative="1">
      <w:start w:val="1"/>
      <w:numFmt w:val="bullet"/>
      <w:lvlText w:val=""/>
      <w:lvlJc w:val="left"/>
      <w:pPr>
        <w:ind w:left="2454" w:hanging="360"/>
      </w:pPr>
      <w:rPr>
        <w:rFonts w:ascii="Symbol" w:hAnsi="Symbol" w:hint="default"/>
      </w:rPr>
    </w:lvl>
    <w:lvl w:ilvl="4" w:tplc="08090003" w:tentative="1">
      <w:start w:val="1"/>
      <w:numFmt w:val="bullet"/>
      <w:lvlText w:val="o"/>
      <w:lvlJc w:val="left"/>
      <w:pPr>
        <w:ind w:left="3174" w:hanging="360"/>
      </w:pPr>
      <w:rPr>
        <w:rFonts w:ascii="Courier New" w:hAnsi="Courier New" w:cs="Courier New" w:hint="default"/>
      </w:rPr>
    </w:lvl>
    <w:lvl w:ilvl="5" w:tplc="08090005" w:tentative="1">
      <w:start w:val="1"/>
      <w:numFmt w:val="bullet"/>
      <w:lvlText w:val=""/>
      <w:lvlJc w:val="left"/>
      <w:pPr>
        <w:ind w:left="3894" w:hanging="360"/>
      </w:pPr>
      <w:rPr>
        <w:rFonts w:ascii="Wingdings" w:hAnsi="Wingdings" w:hint="default"/>
      </w:rPr>
    </w:lvl>
    <w:lvl w:ilvl="6" w:tplc="08090001" w:tentative="1">
      <w:start w:val="1"/>
      <w:numFmt w:val="bullet"/>
      <w:lvlText w:val=""/>
      <w:lvlJc w:val="left"/>
      <w:pPr>
        <w:ind w:left="4614" w:hanging="360"/>
      </w:pPr>
      <w:rPr>
        <w:rFonts w:ascii="Symbol" w:hAnsi="Symbol" w:hint="default"/>
      </w:rPr>
    </w:lvl>
    <w:lvl w:ilvl="7" w:tplc="08090003" w:tentative="1">
      <w:start w:val="1"/>
      <w:numFmt w:val="bullet"/>
      <w:lvlText w:val="o"/>
      <w:lvlJc w:val="left"/>
      <w:pPr>
        <w:ind w:left="5334" w:hanging="360"/>
      </w:pPr>
      <w:rPr>
        <w:rFonts w:ascii="Courier New" w:hAnsi="Courier New" w:cs="Courier New" w:hint="default"/>
      </w:rPr>
    </w:lvl>
    <w:lvl w:ilvl="8" w:tplc="08090005" w:tentative="1">
      <w:start w:val="1"/>
      <w:numFmt w:val="bullet"/>
      <w:lvlText w:val=""/>
      <w:lvlJc w:val="left"/>
      <w:pPr>
        <w:ind w:left="6054" w:hanging="360"/>
      </w:pPr>
      <w:rPr>
        <w:rFonts w:ascii="Wingdings" w:hAnsi="Wingdings" w:hint="default"/>
      </w:rPr>
    </w:lvl>
  </w:abstractNum>
  <w:abstractNum w:abstractNumId="10">
    <w:nsid w:val="27983DF3"/>
    <w:multiLevelType w:val="hybridMultilevel"/>
    <w:tmpl w:val="C01C9D06"/>
    <w:lvl w:ilvl="0" w:tplc="08090001">
      <w:start w:val="1"/>
      <w:numFmt w:val="bullet"/>
      <w:lvlText w:val=""/>
      <w:lvlJc w:val="left"/>
      <w:pPr>
        <w:ind w:left="294" w:hanging="360"/>
      </w:pPr>
      <w:rPr>
        <w:rFonts w:ascii="Symbol" w:hAnsi="Symbol" w:hint="default"/>
      </w:rPr>
    </w:lvl>
    <w:lvl w:ilvl="1" w:tplc="08090003" w:tentative="1">
      <w:start w:val="1"/>
      <w:numFmt w:val="bullet"/>
      <w:lvlText w:val="o"/>
      <w:lvlJc w:val="left"/>
      <w:pPr>
        <w:ind w:left="1014" w:hanging="360"/>
      </w:pPr>
      <w:rPr>
        <w:rFonts w:ascii="Courier New" w:hAnsi="Courier New" w:cs="Courier New" w:hint="default"/>
      </w:rPr>
    </w:lvl>
    <w:lvl w:ilvl="2" w:tplc="08090005" w:tentative="1">
      <w:start w:val="1"/>
      <w:numFmt w:val="bullet"/>
      <w:lvlText w:val=""/>
      <w:lvlJc w:val="left"/>
      <w:pPr>
        <w:ind w:left="1734" w:hanging="360"/>
      </w:pPr>
      <w:rPr>
        <w:rFonts w:ascii="Wingdings" w:hAnsi="Wingdings" w:hint="default"/>
      </w:rPr>
    </w:lvl>
    <w:lvl w:ilvl="3" w:tplc="08090001" w:tentative="1">
      <w:start w:val="1"/>
      <w:numFmt w:val="bullet"/>
      <w:lvlText w:val=""/>
      <w:lvlJc w:val="left"/>
      <w:pPr>
        <w:ind w:left="2454" w:hanging="360"/>
      </w:pPr>
      <w:rPr>
        <w:rFonts w:ascii="Symbol" w:hAnsi="Symbol" w:hint="default"/>
      </w:rPr>
    </w:lvl>
    <w:lvl w:ilvl="4" w:tplc="08090003" w:tentative="1">
      <w:start w:val="1"/>
      <w:numFmt w:val="bullet"/>
      <w:lvlText w:val="o"/>
      <w:lvlJc w:val="left"/>
      <w:pPr>
        <w:ind w:left="3174" w:hanging="360"/>
      </w:pPr>
      <w:rPr>
        <w:rFonts w:ascii="Courier New" w:hAnsi="Courier New" w:cs="Courier New" w:hint="default"/>
      </w:rPr>
    </w:lvl>
    <w:lvl w:ilvl="5" w:tplc="08090005" w:tentative="1">
      <w:start w:val="1"/>
      <w:numFmt w:val="bullet"/>
      <w:lvlText w:val=""/>
      <w:lvlJc w:val="left"/>
      <w:pPr>
        <w:ind w:left="3894" w:hanging="360"/>
      </w:pPr>
      <w:rPr>
        <w:rFonts w:ascii="Wingdings" w:hAnsi="Wingdings" w:hint="default"/>
      </w:rPr>
    </w:lvl>
    <w:lvl w:ilvl="6" w:tplc="08090001" w:tentative="1">
      <w:start w:val="1"/>
      <w:numFmt w:val="bullet"/>
      <w:lvlText w:val=""/>
      <w:lvlJc w:val="left"/>
      <w:pPr>
        <w:ind w:left="4614" w:hanging="360"/>
      </w:pPr>
      <w:rPr>
        <w:rFonts w:ascii="Symbol" w:hAnsi="Symbol" w:hint="default"/>
      </w:rPr>
    </w:lvl>
    <w:lvl w:ilvl="7" w:tplc="08090003" w:tentative="1">
      <w:start w:val="1"/>
      <w:numFmt w:val="bullet"/>
      <w:lvlText w:val="o"/>
      <w:lvlJc w:val="left"/>
      <w:pPr>
        <w:ind w:left="5334" w:hanging="360"/>
      </w:pPr>
      <w:rPr>
        <w:rFonts w:ascii="Courier New" w:hAnsi="Courier New" w:cs="Courier New" w:hint="default"/>
      </w:rPr>
    </w:lvl>
    <w:lvl w:ilvl="8" w:tplc="08090005" w:tentative="1">
      <w:start w:val="1"/>
      <w:numFmt w:val="bullet"/>
      <w:lvlText w:val=""/>
      <w:lvlJc w:val="left"/>
      <w:pPr>
        <w:ind w:left="6054" w:hanging="360"/>
      </w:pPr>
      <w:rPr>
        <w:rFonts w:ascii="Wingdings" w:hAnsi="Wingdings" w:hint="default"/>
      </w:rPr>
    </w:lvl>
  </w:abstractNum>
  <w:abstractNum w:abstractNumId="11">
    <w:nsid w:val="29EB46CE"/>
    <w:multiLevelType w:val="multilevel"/>
    <w:tmpl w:val="31A60548"/>
    <w:lvl w:ilvl="0">
      <w:start w:val="1"/>
      <w:numFmt w:val="decimal"/>
      <w:lvlText w:val="%1"/>
      <w:lvlJc w:val="left"/>
      <w:pPr>
        <w:ind w:left="540" w:hanging="540"/>
      </w:pPr>
      <w:rPr>
        <w:rFonts w:hint="default"/>
        <w:sz w:val="32"/>
      </w:rPr>
    </w:lvl>
    <w:lvl w:ilvl="1">
      <w:start w:val="1"/>
      <w:numFmt w:val="decimal"/>
      <w:lvlText w:val="%1.%2"/>
      <w:lvlJc w:val="left"/>
      <w:pPr>
        <w:ind w:left="114" w:hanging="540"/>
      </w:pPr>
      <w:rPr>
        <w:rFonts w:hint="default"/>
        <w:sz w:val="32"/>
      </w:rPr>
    </w:lvl>
    <w:lvl w:ilvl="2">
      <w:start w:val="1"/>
      <w:numFmt w:val="decimal"/>
      <w:lvlText w:val="%1.%2.%3"/>
      <w:lvlJc w:val="left"/>
      <w:pPr>
        <w:ind w:left="-132" w:hanging="720"/>
      </w:pPr>
      <w:rPr>
        <w:rFonts w:hint="default"/>
        <w:sz w:val="32"/>
      </w:rPr>
    </w:lvl>
    <w:lvl w:ilvl="3">
      <w:start w:val="1"/>
      <w:numFmt w:val="decimal"/>
      <w:lvlText w:val="%1.%2.%3.%4"/>
      <w:lvlJc w:val="left"/>
      <w:pPr>
        <w:ind w:left="-198" w:hanging="1080"/>
      </w:pPr>
      <w:rPr>
        <w:rFonts w:hint="default"/>
        <w:sz w:val="32"/>
      </w:rPr>
    </w:lvl>
    <w:lvl w:ilvl="4">
      <w:start w:val="1"/>
      <w:numFmt w:val="decimal"/>
      <w:lvlText w:val="%1.%2.%3.%4.%5"/>
      <w:lvlJc w:val="left"/>
      <w:pPr>
        <w:ind w:left="-624" w:hanging="1080"/>
      </w:pPr>
      <w:rPr>
        <w:rFonts w:hint="default"/>
        <w:sz w:val="32"/>
      </w:rPr>
    </w:lvl>
    <w:lvl w:ilvl="5">
      <w:start w:val="1"/>
      <w:numFmt w:val="decimal"/>
      <w:lvlText w:val="%1.%2.%3.%4.%5.%6"/>
      <w:lvlJc w:val="left"/>
      <w:pPr>
        <w:ind w:left="-690" w:hanging="1440"/>
      </w:pPr>
      <w:rPr>
        <w:rFonts w:hint="default"/>
        <w:sz w:val="32"/>
      </w:rPr>
    </w:lvl>
    <w:lvl w:ilvl="6">
      <w:start w:val="1"/>
      <w:numFmt w:val="decimal"/>
      <w:lvlText w:val="%1.%2.%3.%4.%5.%6.%7"/>
      <w:lvlJc w:val="left"/>
      <w:pPr>
        <w:ind w:left="-1116" w:hanging="1440"/>
      </w:pPr>
      <w:rPr>
        <w:rFonts w:hint="default"/>
        <w:sz w:val="32"/>
      </w:rPr>
    </w:lvl>
    <w:lvl w:ilvl="7">
      <w:start w:val="1"/>
      <w:numFmt w:val="decimal"/>
      <w:lvlText w:val="%1.%2.%3.%4.%5.%6.%7.%8"/>
      <w:lvlJc w:val="left"/>
      <w:pPr>
        <w:ind w:left="-1182" w:hanging="1800"/>
      </w:pPr>
      <w:rPr>
        <w:rFonts w:hint="default"/>
        <w:sz w:val="32"/>
      </w:rPr>
    </w:lvl>
    <w:lvl w:ilvl="8">
      <w:start w:val="1"/>
      <w:numFmt w:val="decimal"/>
      <w:lvlText w:val="%1.%2.%3.%4.%5.%6.%7.%8.%9"/>
      <w:lvlJc w:val="left"/>
      <w:pPr>
        <w:ind w:left="-1608" w:hanging="1800"/>
      </w:pPr>
      <w:rPr>
        <w:rFonts w:hint="default"/>
        <w:sz w:val="32"/>
      </w:rPr>
    </w:lvl>
  </w:abstractNum>
  <w:abstractNum w:abstractNumId="12">
    <w:nsid w:val="2E1C205C"/>
    <w:multiLevelType w:val="hybridMultilevel"/>
    <w:tmpl w:val="4F7E00B6"/>
    <w:lvl w:ilvl="0" w:tplc="08090001">
      <w:start w:val="1"/>
      <w:numFmt w:val="bullet"/>
      <w:lvlText w:val=""/>
      <w:lvlJc w:val="left"/>
      <w:pPr>
        <w:ind w:left="294" w:hanging="360"/>
      </w:pPr>
      <w:rPr>
        <w:rFonts w:ascii="Symbol" w:hAnsi="Symbol" w:hint="default"/>
      </w:rPr>
    </w:lvl>
    <w:lvl w:ilvl="1" w:tplc="08090003">
      <w:start w:val="1"/>
      <w:numFmt w:val="bullet"/>
      <w:lvlText w:val="o"/>
      <w:lvlJc w:val="left"/>
      <w:pPr>
        <w:ind w:left="1014" w:hanging="360"/>
      </w:pPr>
      <w:rPr>
        <w:rFonts w:ascii="Courier New" w:hAnsi="Courier New" w:cs="Courier New" w:hint="default"/>
      </w:rPr>
    </w:lvl>
    <w:lvl w:ilvl="2" w:tplc="08090005" w:tentative="1">
      <w:start w:val="1"/>
      <w:numFmt w:val="bullet"/>
      <w:lvlText w:val=""/>
      <w:lvlJc w:val="left"/>
      <w:pPr>
        <w:ind w:left="1734" w:hanging="360"/>
      </w:pPr>
      <w:rPr>
        <w:rFonts w:ascii="Wingdings" w:hAnsi="Wingdings" w:hint="default"/>
      </w:rPr>
    </w:lvl>
    <w:lvl w:ilvl="3" w:tplc="08090001" w:tentative="1">
      <w:start w:val="1"/>
      <w:numFmt w:val="bullet"/>
      <w:lvlText w:val=""/>
      <w:lvlJc w:val="left"/>
      <w:pPr>
        <w:ind w:left="2454" w:hanging="360"/>
      </w:pPr>
      <w:rPr>
        <w:rFonts w:ascii="Symbol" w:hAnsi="Symbol" w:hint="default"/>
      </w:rPr>
    </w:lvl>
    <w:lvl w:ilvl="4" w:tplc="08090003" w:tentative="1">
      <w:start w:val="1"/>
      <w:numFmt w:val="bullet"/>
      <w:lvlText w:val="o"/>
      <w:lvlJc w:val="left"/>
      <w:pPr>
        <w:ind w:left="3174" w:hanging="360"/>
      </w:pPr>
      <w:rPr>
        <w:rFonts w:ascii="Courier New" w:hAnsi="Courier New" w:cs="Courier New" w:hint="default"/>
      </w:rPr>
    </w:lvl>
    <w:lvl w:ilvl="5" w:tplc="08090005" w:tentative="1">
      <w:start w:val="1"/>
      <w:numFmt w:val="bullet"/>
      <w:lvlText w:val=""/>
      <w:lvlJc w:val="left"/>
      <w:pPr>
        <w:ind w:left="3894" w:hanging="360"/>
      </w:pPr>
      <w:rPr>
        <w:rFonts w:ascii="Wingdings" w:hAnsi="Wingdings" w:hint="default"/>
      </w:rPr>
    </w:lvl>
    <w:lvl w:ilvl="6" w:tplc="08090001" w:tentative="1">
      <w:start w:val="1"/>
      <w:numFmt w:val="bullet"/>
      <w:lvlText w:val=""/>
      <w:lvlJc w:val="left"/>
      <w:pPr>
        <w:ind w:left="4614" w:hanging="360"/>
      </w:pPr>
      <w:rPr>
        <w:rFonts w:ascii="Symbol" w:hAnsi="Symbol" w:hint="default"/>
      </w:rPr>
    </w:lvl>
    <w:lvl w:ilvl="7" w:tplc="08090003" w:tentative="1">
      <w:start w:val="1"/>
      <w:numFmt w:val="bullet"/>
      <w:lvlText w:val="o"/>
      <w:lvlJc w:val="left"/>
      <w:pPr>
        <w:ind w:left="5334" w:hanging="360"/>
      </w:pPr>
      <w:rPr>
        <w:rFonts w:ascii="Courier New" w:hAnsi="Courier New" w:cs="Courier New" w:hint="default"/>
      </w:rPr>
    </w:lvl>
    <w:lvl w:ilvl="8" w:tplc="08090005" w:tentative="1">
      <w:start w:val="1"/>
      <w:numFmt w:val="bullet"/>
      <w:lvlText w:val=""/>
      <w:lvlJc w:val="left"/>
      <w:pPr>
        <w:ind w:left="6054" w:hanging="360"/>
      </w:pPr>
      <w:rPr>
        <w:rFonts w:ascii="Wingdings" w:hAnsi="Wingdings" w:hint="default"/>
      </w:rPr>
    </w:lvl>
  </w:abstractNum>
  <w:abstractNum w:abstractNumId="13">
    <w:nsid w:val="35BB0F08"/>
    <w:multiLevelType w:val="hybridMultilevel"/>
    <w:tmpl w:val="B6B01D5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3A1A2CFE"/>
    <w:multiLevelType w:val="hybridMultilevel"/>
    <w:tmpl w:val="B502ADFE"/>
    <w:lvl w:ilvl="0" w:tplc="08090001">
      <w:start w:val="1"/>
      <w:numFmt w:val="bullet"/>
      <w:lvlText w:val=""/>
      <w:lvlJc w:val="left"/>
      <w:pPr>
        <w:ind w:left="294" w:hanging="360"/>
      </w:pPr>
      <w:rPr>
        <w:rFonts w:ascii="Symbol" w:hAnsi="Symbol" w:hint="default"/>
      </w:rPr>
    </w:lvl>
    <w:lvl w:ilvl="1" w:tplc="08090003" w:tentative="1">
      <w:start w:val="1"/>
      <w:numFmt w:val="bullet"/>
      <w:lvlText w:val="o"/>
      <w:lvlJc w:val="left"/>
      <w:pPr>
        <w:ind w:left="1014" w:hanging="360"/>
      </w:pPr>
      <w:rPr>
        <w:rFonts w:ascii="Courier New" w:hAnsi="Courier New" w:cs="Courier New" w:hint="default"/>
      </w:rPr>
    </w:lvl>
    <w:lvl w:ilvl="2" w:tplc="08090005" w:tentative="1">
      <w:start w:val="1"/>
      <w:numFmt w:val="bullet"/>
      <w:lvlText w:val=""/>
      <w:lvlJc w:val="left"/>
      <w:pPr>
        <w:ind w:left="1734" w:hanging="360"/>
      </w:pPr>
      <w:rPr>
        <w:rFonts w:ascii="Wingdings" w:hAnsi="Wingdings" w:hint="default"/>
      </w:rPr>
    </w:lvl>
    <w:lvl w:ilvl="3" w:tplc="08090001" w:tentative="1">
      <w:start w:val="1"/>
      <w:numFmt w:val="bullet"/>
      <w:lvlText w:val=""/>
      <w:lvlJc w:val="left"/>
      <w:pPr>
        <w:ind w:left="2454" w:hanging="360"/>
      </w:pPr>
      <w:rPr>
        <w:rFonts w:ascii="Symbol" w:hAnsi="Symbol" w:hint="default"/>
      </w:rPr>
    </w:lvl>
    <w:lvl w:ilvl="4" w:tplc="08090003" w:tentative="1">
      <w:start w:val="1"/>
      <w:numFmt w:val="bullet"/>
      <w:lvlText w:val="o"/>
      <w:lvlJc w:val="left"/>
      <w:pPr>
        <w:ind w:left="3174" w:hanging="360"/>
      </w:pPr>
      <w:rPr>
        <w:rFonts w:ascii="Courier New" w:hAnsi="Courier New" w:cs="Courier New" w:hint="default"/>
      </w:rPr>
    </w:lvl>
    <w:lvl w:ilvl="5" w:tplc="08090005" w:tentative="1">
      <w:start w:val="1"/>
      <w:numFmt w:val="bullet"/>
      <w:lvlText w:val=""/>
      <w:lvlJc w:val="left"/>
      <w:pPr>
        <w:ind w:left="3894" w:hanging="360"/>
      </w:pPr>
      <w:rPr>
        <w:rFonts w:ascii="Wingdings" w:hAnsi="Wingdings" w:hint="default"/>
      </w:rPr>
    </w:lvl>
    <w:lvl w:ilvl="6" w:tplc="08090001" w:tentative="1">
      <w:start w:val="1"/>
      <w:numFmt w:val="bullet"/>
      <w:lvlText w:val=""/>
      <w:lvlJc w:val="left"/>
      <w:pPr>
        <w:ind w:left="4614" w:hanging="360"/>
      </w:pPr>
      <w:rPr>
        <w:rFonts w:ascii="Symbol" w:hAnsi="Symbol" w:hint="default"/>
      </w:rPr>
    </w:lvl>
    <w:lvl w:ilvl="7" w:tplc="08090003" w:tentative="1">
      <w:start w:val="1"/>
      <w:numFmt w:val="bullet"/>
      <w:lvlText w:val="o"/>
      <w:lvlJc w:val="left"/>
      <w:pPr>
        <w:ind w:left="5334" w:hanging="360"/>
      </w:pPr>
      <w:rPr>
        <w:rFonts w:ascii="Courier New" w:hAnsi="Courier New" w:cs="Courier New" w:hint="default"/>
      </w:rPr>
    </w:lvl>
    <w:lvl w:ilvl="8" w:tplc="08090005" w:tentative="1">
      <w:start w:val="1"/>
      <w:numFmt w:val="bullet"/>
      <w:lvlText w:val=""/>
      <w:lvlJc w:val="left"/>
      <w:pPr>
        <w:ind w:left="6054" w:hanging="360"/>
      </w:pPr>
      <w:rPr>
        <w:rFonts w:ascii="Wingdings" w:hAnsi="Wingdings" w:hint="default"/>
      </w:rPr>
    </w:lvl>
  </w:abstractNum>
  <w:abstractNum w:abstractNumId="15">
    <w:nsid w:val="3B1024A2"/>
    <w:multiLevelType w:val="hybridMultilevel"/>
    <w:tmpl w:val="17F6B3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3B5B5867"/>
    <w:multiLevelType w:val="hybridMultilevel"/>
    <w:tmpl w:val="7D14CACA"/>
    <w:lvl w:ilvl="0" w:tplc="08090001">
      <w:start w:val="1"/>
      <w:numFmt w:val="bullet"/>
      <w:lvlText w:val=""/>
      <w:lvlJc w:val="left"/>
      <w:pPr>
        <w:ind w:left="294" w:hanging="360"/>
      </w:pPr>
      <w:rPr>
        <w:rFonts w:ascii="Symbol" w:hAnsi="Symbol" w:hint="default"/>
      </w:rPr>
    </w:lvl>
    <w:lvl w:ilvl="1" w:tplc="08090003" w:tentative="1">
      <w:start w:val="1"/>
      <w:numFmt w:val="bullet"/>
      <w:lvlText w:val="o"/>
      <w:lvlJc w:val="left"/>
      <w:pPr>
        <w:ind w:left="1014" w:hanging="360"/>
      </w:pPr>
      <w:rPr>
        <w:rFonts w:ascii="Courier New" w:hAnsi="Courier New" w:cs="Courier New" w:hint="default"/>
      </w:rPr>
    </w:lvl>
    <w:lvl w:ilvl="2" w:tplc="08090005" w:tentative="1">
      <w:start w:val="1"/>
      <w:numFmt w:val="bullet"/>
      <w:lvlText w:val=""/>
      <w:lvlJc w:val="left"/>
      <w:pPr>
        <w:ind w:left="1734" w:hanging="360"/>
      </w:pPr>
      <w:rPr>
        <w:rFonts w:ascii="Wingdings" w:hAnsi="Wingdings" w:hint="default"/>
      </w:rPr>
    </w:lvl>
    <w:lvl w:ilvl="3" w:tplc="08090001" w:tentative="1">
      <w:start w:val="1"/>
      <w:numFmt w:val="bullet"/>
      <w:lvlText w:val=""/>
      <w:lvlJc w:val="left"/>
      <w:pPr>
        <w:ind w:left="2454" w:hanging="360"/>
      </w:pPr>
      <w:rPr>
        <w:rFonts w:ascii="Symbol" w:hAnsi="Symbol" w:hint="default"/>
      </w:rPr>
    </w:lvl>
    <w:lvl w:ilvl="4" w:tplc="08090003" w:tentative="1">
      <w:start w:val="1"/>
      <w:numFmt w:val="bullet"/>
      <w:lvlText w:val="o"/>
      <w:lvlJc w:val="left"/>
      <w:pPr>
        <w:ind w:left="3174" w:hanging="360"/>
      </w:pPr>
      <w:rPr>
        <w:rFonts w:ascii="Courier New" w:hAnsi="Courier New" w:cs="Courier New" w:hint="default"/>
      </w:rPr>
    </w:lvl>
    <w:lvl w:ilvl="5" w:tplc="08090005" w:tentative="1">
      <w:start w:val="1"/>
      <w:numFmt w:val="bullet"/>
      <w:lvlText w:val=""/>
      <w:lvlJc w:val="left"/>
      <w:pPr>
        <w:ind w:left="3894" w:hanging="360"/>
      </w:pPr>
      <w:rPr>
        <w:rFonts w:ascii="Wingdings" w:hAnsi="Wingdings" w:hint="default"/>
      </w:rPr>
    </w:lvl>
    <w:lvl w:ilvl="6" w:tplc="08090001" w:tentative="1">
      <w:start w:val="1"/>
      <w:numFmt w:val="bullet"/>
      <w:lvlText w:val=""/>
      <w:lvlJc w:val="left"/>
      <w:pPr>
        <w:ind w:left="4614" w:hanging="360"/>
      </w:pPr>
      <w:rPr>
        <w:rFonts w:ascii="Symbol" w:hAnsi="Symbol" w:hint="default"/>
      </w:rPr>
    </w:lvl>
    <w:lvl w:ilvl="7" w:tplc="08090003" w:tentative="1">
      <w:start w:val="1"/>
      <w:numFmt w:val="bullet"/>
      <w:lvlText w:val="o"/>
      <w:lvlJc w:val="left"/>
      <w:pPr>
        <w:ind w:left="5334" w:hanging="360"/>
      </w:pPr>
      <w:rPr>
        <w:rFonts w:ascii="Courier New" w:hAnsi="Courier New" w:cs="Courier New" w:hint="default"/>
      </w:rPr>
    </w:lvl>
    <w:lvl w:ilvl="8" w:tplc="08090005" w:tentative="1">
      <w:start w:val="1"/>
      <w:numFmt w:val="bullet"/>
      <w:lvlText w:val=""/>
      <w:lvlJc w:val="left"/>
      <w:pPr>
        <w:ind w:left="6054" w:hanging="360"/>
      </w:pPr>
      <w:rPr>
        <w:rFonts w:ascii="Wingdings" w:hAnsi="Wingdings" w:hint="default"/>
      </w:rPr>
    </w:lvl>
  </w:abstractNum>
  <w:abstractNum w:abstractNumId="17">
    <w:nsid w:val="3EDD5CCA"/>
    <w:multiLevelType w:val="hybridMultilevel"/>
    <w:tmpl w:val="FF4E00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08E4608"/>
    <w:multiLevelType w:val="hybridMultilevel"/>
    <w:tmpl w:val="C03689D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nsid w:val="40C1737D"/>
    <w:multiLevelType w:val="hybridMultilevel"/>
    <w:tmpl w:val="8F5890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nsid w:val="441F189A"/>
    <w:multiLevelType w:val="hybridMultilevel"/>
    <w:tmpl w:val="8772918C"/>
    <w:lvl w:ilvl="0" w:tplc="08090001">
      <w:start w:val="1"/>
      <w:numFmt w:val="bullet"/>
      <w:lvlText w:val=""/>
      <w:lvlJc w:val="left"/>
      <w:pPr>
        <w:ind w:left="294" w:hanging="360"/>
      </w:pPr>
      <w:rPr>
        <w:rFonts w:ascii="Symbol" w:hAnsi="Symbol" w:hint="default"/>
      </w:rPr>
    </w:lvl>
    <w:lvl w:ilvl="1" w:tplc="08090003" w:tentative="1">
      <w:start w:val="1"/>
      <w:numFmt w:val="bullet"/>
      <w:lvlText w:val="o"/>
      <w:lvlJc w:val="left"/>
      <w:pPr>
        <w:ind w:left="1014" w:hanging="360"/>
      </w:pPr>
      <w:rPr>
        <w:rFonts w:ascii="Courier New" w:hAnsi="Courier New" w:cs="Courier New" w:hint="default"/>
      </w:rPr>
    </w:lvl>
    <w:lvl w:ilvl="2" w:tplc="08090005" w:tentative="1">
      <w:start w:val="1"/>
      <w:numFmt w:val="bullet"/>
      <w:lvlText w:val=""/>
      <w:lvlJc w:val="left"/>
      <w:pPr>
        <w:ind w:left="1734" w:hanging="360"/>
      </w:pPr>
      <w:rPr>
        <w:rFonts w:ascii="Wingdings" w:hAnsi="Wingdings" w:hint="default"/>
      </w:rPr>
    </w:lvl>
    <w:lvl w:ilvl="3" w:tplc="08090001" w:tentative="1">
      <w:start w:val="1"/>
      <w:numFmt w:val="bullet"/>
      <w:lvlText w:val=""/>
      <w:lvlJc w:val="left"/>
      <w:pPr>
        <w:ind w:left="2454" w:hanging="360"/>
      </w:pPr>
      <w:rPr>
        <w:rFonts w:ascii="Symbol" w:hAnsi="Symbol" w:hint="default"/>
      </w:rPr>
    </w:lvl>
    <w:lvl w:ilvl="4" w:tplc="08090003" w:tentative="1">
      <w:start w:val="1"/>
      <w:numFmt w:val="bullet"/>
      <w:lvlText w:val="o"/>
      <w:lvlJc w:val="left"/>
      <w:pPr>
        <w:ind w:left="3174" w:hanging="360"/>
      </w:pPr>
      <w:rPr>
        <w:rFonts w:ascii="Courier New" w:hAnsi="Courier New" w:cs="Courier New" w:hint="default"/>
      </w:rPr>
    </w:lvl>
    <w:lvl w:ilvl="5" w:tplc="08090005" w:tentative="1">
      <w:start w:val="1"/>
      <w:numFmt w:val="bullet"/>
      <w:lvlText w:val=""/>
      <w:lvlJc w:val="left"/>
      <w:pPr>
        <w:ind w:left="3894" w:hanging="360"/>
      </w:pPr>
      <w:rPr>
        <w:rFonts w:ascii="Wingdings" w:hAnsi="Wingdings" w:hint="default"/>
      </w:rPr>
    </w:lvl>
    <w:lvl w:ilvl="6" w:tplc="08090001" w:tentative="1">
      <w:start w:val="1"/>
      <w:numFmt w:val="bullet"/>
      <w:lvlText w:val=""/>
      <w:lvlJc w:val="left"/>
      <w:pPr>
        <w:ind w:left="4614" w:hanging="360"/>
      </w:pPr>
      <w:rPr>
        <w:rFonts w:ascii="Symbol" w:hAnsi="Symbol" w:hint="default"/>
      </w:rPr>
    </w:lvl>
    <w:lvl w:ilvl="7" w:tplc="08090003" w:tentative="1">
      <w:start w:val="1"/>
      <w:numFmt w:val="bullet"/>
      <w:lvlText w:val="o"/>
      <w:lvlJc w:val="left"/>
      <w:pPr>
        <w:ind w:left="5334" w:hanging="360"/>
      </w:pPr>
      <w:rPr>
        <w:rFonts w:ascii="Courier New" w:hAnsi="Courier New" w:cs="Courier New" w:hint="default"/>
      </w:rPr>
    </w:lvl>
    <w:lvl w:ilvl="8" w:tplc="08090005" w:tentative="1">
      <w:start w:val="1"/>
      <w:numFmt w:val="bullet"/>
      <w:lvlText w:val=""/>
      <w:lvlJc w:val="left"/>
      <w:pPr>
        <w:ind w:left="6054" w:hanging="360"/>
      </w:pPr>
      <w:rPr>
        <w:rFonts w:ascii="Wingdings" w:hAnsi="Wingdings" w:hint="default"/>
      </w:rPr>
    </w:lvl>
  </w:abstractNum>
  <w:abstractNum w:abstractNumId="21">
    <w:nsid w:val="489969FD"/>
    <w:multiLevelType w:val="hybridMultilevel"/>
    <w:tmpl w:val="CF0466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4F3C6F44"/>
    <w:multiLevelType w:val="hybridMultilevel"/>
    <w:tmpl w:val="8D628F3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nsid w:val="52833798"/>
    <w:multiLevelType w:val="hybridMultilevel"/>
    <w:tmpl w:val="F624552A"/>
    <w:lvl w:ilvl="0" w:tplc="08090001">
      <w:start w:val="1"/>
      <w:numFmt w:val="bullet"/>
      <w:lvlText w:val=""/>
      <w:lvlJc w:val="left"/>
      <w:pPr>
        <w:ind w:left="436" w:hanging="360"/>
      </w:pPr>
      <w:rPr>
        <w:rFonts w:ascii="Symbol" w:hAnsi="Symbol" w:hint="default"/>
      </w:rPr>
    </w:lvl>
    <w:lvl w:ilvl="1" w:tplc="08090003">
      <w:start w:val="1"/>
      <w:numFmt w:val="bullet"/>
      <w:lvlText w:val="o"/>
      <w:lvlJc w:val="left"/>
      <w:pPr>
        <w:ind w:left="1156" w:hanging="360"/>
      </w:pPr>
      <w:rPr>
        <w:rFonts w:ascii="Courier New" w:hAnsi="Courier New" w:cs="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cs="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cs="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24">
    <w:nsid w:val="577E5488"/>
    <w:multiLevelType w:val="hybridMultilevel"/>
    <w:tmpl w:val="17F228C4"/>
    <w:lvl w:ilvl="0" w:tplc="08090001">
      <w:start w:val="1"/>
      <w:numFmt w:val="bullet"/>
      <w:lvlText w:val=""/>
      <w:lvlJc w:val="left"/>
      <w:pPr>
        <w:ind w:left="108" w:hanging="360"/>
      </w:pPr>
      <w:rPr>
        <w:rFonts w:ascii="Symbol" w:hAnsi="Symbol" w:hint="default"/>
      </w:rPr>
    </w:lvl>
    <w:lvl w:ilvl="1" w:tplc="08090003">
      <w:start w:val="1"/>
      <w:numFmt w:val="bullet"/>
      <w:lvlText w:val="o"/>
      <w:lvlJc w:val="left"/>
      <w:pPr>
        <w:ind w:left="828" w:hanging="360"/>
      </w:pPr>
      <w:rPr>
        <w:rFonts w:ascii="Courier New" w:hAnsi="Courier New" w:cs="Courier New" w:hint="default"/>
      </w:rPr>
    </w:lvl>
    <w:lvl w:ilvl="2" w:tplc="08090005" w:tentative="1">
      <w:start w:val="1"/>
      <w:numFmt w:val="bullet"/>
      <w:lvlText w:val=""/>
      <w:lvlJc w:val="left"/>
      <w:pPr>
        <w:ind w:left="1548" w:hanging="360"/>
      </w:pPr>
      <w:rPr>
        <w:rFonts w:ascii="Wingdings" w:hAnsi="Wingdings" w:hint="default"/>
      </w:rPr>
    </w:lvl>
    <w:lvl w:ilvl="3" w:tplc="08090001" w:tentative="1">
      <w:start w:val="1"/>
      <w:numFmt w:val="bullet"/>
      <w:lvlText w:val=""/>
      <w:lvlJc w:val="left"/>
      <w:pPr>
        <w:ind w:left="2268" w:hanging="360"/>
      </w:pPr>
      <w:rPr>
        <w:rFonts w:ascii="Symbol" w:hAnsi="Symbol" w:hint="default"/>
      </w:rPr>
    </w:lvl>
    <w:lvl w:ilvl="4" w:tplc="08090003" w:tentative="1">
      <w:start w:val="1"/>
      <w:numFmt w:val="bullet"/>
      <w:lvlText w:val="o"/>
      <w:lvlJc w:val="left"/>
      <w:pPr>
        <w:ind w:left="2988" w:hanging="360"/>
      </w:pPr>
      <w:rPr>
        <w:rFonts w:ascii="Courier New" w:hAnsi="Courier New" w:cs="Courier New" w:hint="default"/>
      </w:rPr>
    </w:lvl>
    <w:lvl w:ilvl="5" w:tplc="08090005" w:tentative="1">
      <w:start w:val="1"/>
      <w:numFmt w:val="bullet"/>
      <w:lvlText w:val=""/>
      <w:lvlJc w:val="left"/>
      <w:pPr>
        <w:ind w:left="3708" w:hanging="360"/>
      </w:pPr>
      <w:rPr>
        <w:rFonts w:ascii="Wingdings" w:hAnsi="Wingdings" w:hint="default"/>
      </w:rPr>
    </w:lvl>
    <w:lvl w:ilvl="6" w:tplc="08090001" w:tentative="1">
      <w:start w:val="1"/>
      <w:numFmt w:val="bullet"/>
      <w:lvlText w:val=""/>
      <w:lvlJc w:val="left"/>
      <w:pPr>
        <w:ind w:left="4428" w:hanging="360"/>
      </w:pPr>
      <w:rPr>
        <w:rFonts w:ascii="Symbol" w:hAnsi="Symbol" w:hint="default"/>
      </w:rPr>
    </w:lvl>
    <w:lvl w:ilvl="7" w:tplc="08090003" w:tentative="1">
      <w:start w:val="1"/>
      <w:numFmt w:val="bullet"/>
      <w:lvlText w:val="o"/>
      <w:lvlJc w:val="left"/>
      <w:pPr>
        <w:ind w:left="5148" w:hanging="360"/>
      </w:pPr>
      <w:rPr>
        <w:rFonts w:ascii="Courier New" w:hAnsi="Courier New" w:cs="Courier New" w:hint="default"/>
      </w:rPr>
    </w:lvl>
    <w:lvl w:ilvl="8" w:tplc="08090005" w:tentative="1">
      <w:start w:val="1"/>
      <w:numFmt w:val="bullet"/>
      <w:lvlText w:val=""/>
      <w:lvlJc w:val="left"/>
      <w:pPr>
        <w:ind w:left="5868" w:hanging="360"/>
      </w:pPr>
      <w:rPr>
        <w:rFonts w:ascii="Wingdings" w:hAnsi="Wingdings" w:hint="default"/>
      </w:rPr>
    </w:lvl>
  </w:abstractNum>
  <w:abstractNum w:abstractNumId="25">
    <w:nsid w:val="5A234CDF"/>
    <w:multiLevelType w:val="hybridMultilevel"/>
    <w:tmpl w:val="7436D10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nsid w:val="5B2F5AF7"/>
    <w:multiLevelType w:val="hybridMultilevel"/>
    <w:tmpl w:val="22B6FBE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27">
    <w:nsid w:val="5BFF15A0"/>
    <w:multiLevelType w:val="hybridMultilevel"/>
    <w:tmpl w:val="D86AE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648939A9"/>
    <w:multiLevelType w:val="hybridMultilevel"/>
    <w:tmpl w:val="78EC63F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9">
    <w:nsid w:val="6C6E0A57"/>
    <w:multiLevelType w:val="hybridMultilevel"/>
    <w:tmpl w:val="B1EA00D8"/>
    <w:lvl w:ilvl="0" w:tplc="08090001">
      <w:start w:val="1"/>
      <w:numFmt w:val="bullet"/>
      <w:lvlText w:val=""/>
      <w:lvlJc w:val="left"/>
      <w:pPr>
        <w:ind w:left="-351" w:hanging="360"/>
      </w:pPr>
      <w:rPr>
        <w:rFonts w:ascii="Symbol" w:hAnsi="Symbol" w:hint="default"/>
      </w:rPr>
    </w:lvl>
    <w:lvl w:ilvl="1" w:tplc="08090003" w:tentative="1">
      <w:start w:val="1"/>
      <w:numFmt w:val="bullet"/>
      <w:lvlText w:val="o"/>
      <w:lvlJc w:val="left"/>
      <w:pPr>
        <w:ind w:left="369" w:hanging="360"/>
      </w:pPr>
      <w:rPr>
        <w:rFonts w:ascii="Courier New" w:hAnsi="Courier New" w:cs="Courier New" w:hint="default"/>
      </w:rPr>
    </w:lvl>
    <w:lvl w:ilvl="2" w:tplc="08090005" w:tentative="1">
      <w:start w:val="1"/>
      <w:numFmt w:val="bullet"/>
      <w:lvlText w:val=""/>
      <w:lvlJc w:val="left"/>
      <w:pPr>
        <w:ind w:left="1089" w:hanging="360"/>
      </w:pPr>
      <w:rPr>
        <w:rFonts w:ascii="Wingdings" w:hAnsi="Wingdings" w:hint="default"/>
      </w:rPr>
    </w:lvl>
    <w:lvl w:ilvl="3" w:tplc="08090001" w:tentative="1">
      <w:start w:val="1"/>
      <w:numFmt w:val="bullet"/>
      <w:lvlText w:val=""/>
      <w:lvlJc w:val="left"/>
      <w:pPr>
        <w:ind w:left="1809" w:hanging="360"/>
      </w:pPr>
      <w:rPr>
        <w:rFonts w:ascii="Symbol" w:hAnsi="Symbol" w:hint="default"/>
      </w:rPr>
    </w:lvl>
    <w:lvl w:ilvl="4" w:tplc="08090003" w:tentative="1">
      <w:start w:val="1"/>
      <w:numFmt w:val="bullet"/>
      <w:lvlText w:val="o"/>
      <w:lvlJc w:val="left"/>
      <w:pPr>
        <w:ind w:left="2529" w:hanging="360"/>
      </w:pPr>
      <w:rPr>
        <w:rFonts w:ascii="Courier New" w:hAnsi="Courier New" w:cs="Courier New" w:hint="default"/>
      </w:rPr>
    </w:lvl>
    <w:lvl w:ilvl="5" w:tplc="08090005" w:tentative="1">
      <w:start w:val="1"/>
      <w:numFmt w:val="bullet"/>
      <w:lvlText w:val=""/>
      <w:lvlJc w:val="left"/>
      <w:pPr>
        <w:ind w:left="3249" w:hanging="360"/>
      </w:pPr>
      <w:rPr>
        <w:rFonts w:ascii="Wingdings" w:hAnsi="Wingdings" w:hint="default"/>
      </w:rPr>
    </w:lvl>
    <w:lvl w:ilvl="6" w:tplc="08090001" w:tentative="1">
      <w:start w:val="1"/>
      <w:numFmt w:val="bullet"/>
      <w:lvlText w:val=""/>
      <w:lvlJc w:val="left"/>
      <w:pPr>
        <w:ind w:left="3969" w:hanging="360"/>
      </w:pPr>
      <w:rPr>
        <w:rFonts w:ascii="Symbol" w:hAnsi="Symbol" w:hint="default"/>
      </w:rPr>
    </w:lvl>
    <w:lvl w:ilvl="7" w:tplc="08090003" w:tentative="1">
      <w:start w:val="1"/>
      <w:numFmt w:val="bullet"/>
      <w:lvlText w:val="o"/>
      <w:lvlJc w:val="left"/>
      <w:pPr>
        <w:ind w:left="4689" w:hanging="360"/>
      </w:pPr>
      <w:rPr>
        <w:rFonts w:ascii="Courier New" w:hAnsi="Courier New" w:cs="Courier New" w:hint="default"/>
      </w:rPr>
    </w:lvl>
    <w:lvl w:ilvl="8" w:tplc="08090005" w:tentative="1">
      <w:start w:val="1"/>
      <w:numFmt w:val="bullet"/>
      <w:lvlText w:val=""/>
      <w:lvlJc w:val="left"/>
      <w:pPr>
        <w:ind w:left="5409" w:hanging="360"/>
      </w:pPr>
      <w:rPr>
        <w:rFonts w:ascii="Wingdings" w:hAnsi="Wingdings" w:hint="default"/>
      </w:rPr>
    </w:lvl>
  </w:abstractNum>
  <w:abstractNum w:abstractNumId="30">
    <w:nsid w:val="6E503713"/>
    <w:multiLevelType w:val="hybridMultilevel"/>
    <w:tmpl w:val="DEB42C7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nsid w:val="706B0FBB"/>
    <w:multiLevelType w:val="hybridMultilevel"/>
    <w:tmpl w:val="710E96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nsid w:val="756734BE"/>
    <w:multiLevelType w:val="hybridMultilevel"/>
    <w:tmpl w:val="3FC2881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nsid w:val="78511C15"/>
    <w:multiLevelType w:val="hybridMultilevel"/>
    <w:tmpl w:val="FDAC69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7CD9583C"/>
    <w:multiLevelType w:val="hybridMultilevel"/>
    <w:tmpl w:val="8CF8A5A0"/>
    <w:lvl w:ilvl="0" w:tplc="08090001">
      <w:start w:val="1"/>
      <w:numFmt w:val="bullet"/>
      <w:lvlText w:val=""/>
      <w:lvlJc w:val="left"/>
      <w:pPr>
        <w:ind w:left="774" w:hanging="360"/>
      </w:pPr>
      <w:rPr>
        <w:rFonts w:ascii="Symbol" w:hAnsi="Symbol" w:hint="default"/>
      </w:rPr>
    </w:lvl>
    <w:lvl w:ilvl="1" w:tplc="08090003" w:tentative="1">
      <w:start w:val="1"/>
      <w:numFmt w:val="bullet"/>
      <w:lvlText w:val="o"/>
      <w:lvlJc w:val="left"/>
      <w:pPr>
        <w:ind w:left="1494" w:hanging="360"/>
      </w:pPr>
      <w:rPr>
        <w:rFonts w:ascii="Courier New" w:hAnsi="Courier New" w:cs="Courier New" w:hint="default"/>
      </w:rPr>
    </w:lvl>
    <w:lvl w:ilvl="2" w:tplc="08090005" w:tentative="1">
      <w:start w:val="1"/>
      <w:numFmt w:val="bullet"/>
      <w:lvlText w:val=""/>
      <w:lvlJc w:val="left"/>
      <w:pPr>
        <w:ind w:left="2214" w:hanging="360"/>
      </w:pPr>
      <w:rPr>
        <w:rFonts w:ascii="Wingdings" w:hAnsi="Wingdings" w:hint="default"/>
      </w:rPr>
    </w:lvl>
    <w:lvl w:ilvl="3" w:tplc="08090001" w:tentative="1">
      <w:start w:val="1"/>
      <w:numFmt w:val="bullet"/>
      <w:lvlText w:val=""/>
      <w:lvlJc w:val="left"/>
      <w:pPr>
        <w:ind w:left="2934" w:hanging="360"/>
      </w:pPr>
      <w:rPr>
        <w:rFonts w:ascii="Symbol" w:hAnsi="Symbol" w:hint="default"/>
      </w:rPr>
    </w:lvl>
    <w:lvl w:ilvl="4" w:tplc="08090003" w:tentative="1">
      <w:start w:val="1"/>
      <w:numFmt w:val="bullet"/>
      <w:lvlText w:val="o"/>
      <w:lvlJc w:val="left"/>
      <w:pPr>
        <w:ind w:left="3654" w:hanging="360"/>
      </w:pPr>
      <w:rPr>
        <w:rFonts w:ascii="Courier New" w:hAnsi="Courier New" w:cs="Courier New" w:hint="default"/>
      </w:rPr>
    </w:lvl>
    <w:lvl w:ilvl="5" w:tplc="08090005" w:tentative="1">
      <w:start w:val="1"/>
      <w:numFmt w:val="bullet"/>
      <w:lvlText w:val=""/>
      <w:lvlJc w:val="left"/>
      <w:pPr>
        <w:ind w:left="4374" w:hanging="360"/>
      </w:pPr>
      <w:rPr>
        <w:rFonts w:ascii="Wingdings" w:hAnsi="Wingdings" w:hint="default"/>
      </w:rPr>
    </w:lvl>
    <w:lvl w:ilvl="6" w:tplc="08090001" w:tentative="1">
      <w:start w:val="1"/>
      <w:numFmt w:val="bullet"/>
      <w:lvlText w:val=""/>
      <w:lvlJc w:val="left"/>
      <w:pPr>
        <w:ind w:left="5094" w:hanging="360"/>
      </w:pPr>
      <w:rPr>
        <w:rFonts w:ascii="Symbol" w:hAnsi="Symbol" w:hint="default"/>
      </w:rPr>
    </w:lvl>
    <w:lvl w:ilvl="7" w:tplc="08090003" w:tentative="1">
      <w:start w:val="1"/>
      <w:numFmt w:val="bullet"/>
      <w:lvlText w:val="o"/>
      <w:lvlJc w:val="left"/>
      <w:pPr>
        <w:ind w:left="5814" w:hanging="360"/>
      </w:pPr>
      <w:rPr>
        <w:rFonts w:ascii="Courier New" w:hAnsi="Courier New" w:cs="Courier New" w:hint="default"/>
      </w:rPr>
    </w:lvl>
    <w:lvl w:ilvl="8" w:tplc="08090005" w:tentative="1">
      <w:start w:val="1"/>
      <w:numFmt w:val="bullet"/>
      <w:lvlText w:val=""/>
      <w:lvlJc w:val="left"/>
      <w:pPr>
        <w:ind w:left="6534" w:hanging="360"/>
      </w:pPr>
      <w:rPr>
        <w:rFonts w:ascii="Wingdings" w:hAnsi="Wingdings" w:hint="default"/>
      </w:rPr>
    </w:lvl>
  </w:abstractNum>
  <w:abstractNum w:abstractNumId="35">
    <w:nsid w:val="7E777FA7"/>
    <w:multiLevelType w:val="hybridMultilevel"/>
    <w:tmpl w:val="E4623BE8"/>
    <w:lvl w:ilvl="0" w:tplc="08090001">
      <w:start w:val="1"/>
      <w:numFmt w:val="bullet"/>
      <w:lvlText w:val=""/>
      <w:lvlJc w:val="left"/>
      <w:pPr>
        <w:ind w:left="1140" w:hanging="360"/>
      </w:pPr>
      <w:rPr>
        <w:rFonts w:ascii="Symbol" w:hAnsi="Symbol"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num w:numId="1">
    <w:abstractNumId w:val="7"/>
  </w:num>
  <w:num w:numId="2">
    <w:abstractNumId w:val="23"/>
  </w:num>
  <w:num w:numId="3">
    <w:abstractNumId w:val="12"/>
  </w:num>
  <w:num w:numId="4">
    <w:abstractNumId w:val="11"/>
  </w:num>
  <w:num w:numId="5">
    <w:abstractNumId w:val="29"/>
  </w:num>
  <w:num w:numId="6">
    <w:abstractNumId w:val="33"/>
  </w:num>
  <w:num w:numId="7">
    <w:abstractNumId w:val="2"/>
  </w:num>
  <w:num w:numId="8">
    <w:abstractNumId w:val="26"/>
  </w:num>
  <w:num w:numId="9">
    <w:abstractNumId w:val="31"/>
  </w:num>
  <w:num w:numId="10">
    <w:abstractNumId w:val="1"/>
  </w:num>
  <w:num w:numId="11">
    <w:abstractNumId w:val="4"/>
  </w:num>
  <w:num w:numId="12">
    <w:abstractNumId w:val="8"/>
  </w:num>
  <w:num w:numId="13">
    <w:abstractNumId w:val="34"/>
  </w:num>
  <w:num w:numId="14">
    <w:abstractNumId w:val="21"/>
  </w:num>
  <w:num w:numId="15">
    <w:abstractNumId w:val="3"/>
  </w:num>
  <w:num w:numId="16">
    <w:abstractNumId w:val="24"/>
  </w:num>
  <w:num w:numId="17">
    <w:abstractNumId w:val="25"/>
  </w:num>
  <w:num w:numId="18">
    <w:abstractNumId w:val="17"/>
  </w:num>
  <w:num w:numId="19">
    <w:abstractNumId w:val="14"/>
  </w:num>
  <w:num w:numId="20">
    <w:abstractNumId w:val="16"/>
  </w:num>
  <w:num w:numId="21">
    <w:abstractNumId w:val="9"/>
  </w:num>
  <w:num w:numId="22">
    <w:abstractNumId w:val="20"/>
  </w:num>
  <w:num w:numId="23">
    <w:abstractNumId w:val="10"/>
  </w:num>
  <w:num w:numId="24">
    <w:abstractNumId w:val="6"/>
  </w:num>
  <w:num w:numId="25">
    <w:abstractNumId w:val="28"/>
  </w:num>
  <w:num w:numId="26">
    <w:abstractNumId w:val="18"/>
  </w:num>
  <w:num w:numId="27">
    <w:abstractNumId w:val="27"/>
  </w:num>
  <w:num w:numId="28">
    <w:abstractNumId w:val="0"/>
  </w:num>
  <w:num w:numId="29">
    <w:abstractNumId w:val="30"/>
  </w:num>
  <w:num w:numId="30">
    <w:abstractNumId w:val="22"/>
  </w:num>
  <w:num w:numId="31">
    <w:abstractNumId w:val="5"/>
  </w:num>
  <w:num w:numId="32">
    <w:abstractNumId w:val="35"/>
  </w:num>
  <w:num w:numId="33">
    <w:abstractNumId w:val="32"/>
  </w:num>
  <w:num w:numId="34">
    <w:abstractNumId w:val="19"/>
  </w:num>
  <w:num w:numId="35">
    <w:abstractNumId w:val="13"/>
  </w:num>
  <w:num w:numId="36">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3"/>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1A34"/>
    <w:rsid w:val="000000C5"/>
    <w:rsid w:val="00000FC8"/>
    <w:rsid w:val="000019CD"/>
    <w:rsid w:val="00001ECB"/>
    <w:rsid w:val="000023BE"/>
    <w:rsid w:val="00002B4B"/>
    <w:rsid w:val="00003955"/>
    <w:rsid w:val="0000401B"/>
    <w:rsid w:val="00004021"/>
    <w:rsid w:val="00004209"/>
    <w:rsid w:val="000045F0"/>
    <w:rsid w:val="00004957"/>
    <w:rsid w:val="00006E1B"/>
    <w:rsid w:val="000072D0"/>
    <w:rsid w:val="00007369"/>
    <w:rsid w:val="00007A7A"/>
    <w:rsid w:val="00011115"/>
    <w:rsid w:val="00011282"/>
    <w:rsid w:val="00011D64"/>
    <w:rsid w:val="00011DFB"/>
    <w:rsid w:val="00012105"/>
    <w:rsid w:val="0001229C"/>
    <w:rsid w:val="000133B6"/>
    <w:rsid w:val="00013846"/>
    <w:rsid w:val="000138BA"/>
    <w:rsid w:val="00013CE6"/>
    <w:rsid w:val="000140F7"/>
    <w:rsid w:val="00014246"/>
    <w:rsid w:val="00014FF9"/>
    <w:rsid w:val="00015B3C"/>
    <w:rsid w:val="00015E1F"/>
    <w:rsid w:val="00015EE1"/>
    <w:rsid w:val="0001678C"/>
    <w:rsid w:val="0001756E"/>
    <w:rsid w:val="00017854"/>
    <w:rsid w:val="00020B3D"/>
    <w:rsid w:val="00020BE3"/>
    <w:rsid w:val="0002115A"/>
    <w:rsid w:val="0002131A"/>
    <w:rsid w:val="00021FE6"/>
    <w:rsid w:val="0002372B"/>
    <w:rsid w:val="00023893"/>
    <w:rsid w:val="00024604"/>
    <w:rsid w:val="00024E1E"/>
    <w:rsid w:val="00025554"/>
    <w:rsid w:val="000258D4"/>
    <w:rsid w:val="00025F75"/>
    <w:rsid w:val="00026520"/>
    <w:rsid w:val="000273F7"/>
    <w:rsid w:val="00027E47"/>
    <w:rsid w:val="00027FC5"/>
    <w:rsid w:val="00030052"/>
    <w:rsid w:val="000302FA"/>
    <w:rsid w:val="00030B8E"/>
    <w:rsid w:val="00031835"/>
    <w:rsid w:val="00032797"/>
    <w:rsid w:val="00033253"/>
    <w:rsid w:val="000333B2"/>
    <w:rsid w:val="00033B68"/>
    <w:rsid w:val="00034538"/>
    <w:rsid w:val="000347D7"/>
    <w:rsid w:val="000357BE"/>
    <w:rsid w:val="00035E3F"/>
    <w:rsid w:val="00036063"/>
    <w:rsid w:val="00036E6E"/>
    <w:rsid w:val="00037135"/>
    <w:rsid w:val="00037768"/>
    <w:rsid w:val="000377B3"/>
    <w:rsid w:val="00037A0C"/>
    <w:rsid w:val="00037A82"/>
    <w:rsid w:val="00037B7E"/>
    <w:rsid w:val="000401BB"/>
    <w:rsid w:val="000406AA"/>
    <w:rsid w:val="00040D25"/>
    <w:rsid w:val="000412A4"/>
    <w:rsid w:val="00041546"/>
    <w:rsid w:val="00041590"/>
    <w:rsid w:val="00041935"/>
    <w:rsid w:val="00041D1B"/>
    <w:rsid w:val="00041D72"/>
    <w:rsid w:val="000426F6"/>
    <w:rsid w:val="00042B59"/>
    <w:rsid w:val="00043310"/>
    <w:rsid w:val="000434B2"/>
    <w:rsid w:val="000436ED"/>
    <w:rsid w:val="00043C4E"/>
    <w:rsid w:val="00043CF1"/>
    <w:rsid w:val="00043FA5"/>
    <w:rsid w:val="00044152"/>
    <w:rsid w:val="000448AB"/>
    <w:rsid w:val="00044942"/>
    <w:rsid w:val="00045432"/>
    <w:rsid w:val="000454DE"/>
    <w:rsid w:val="00045646"/>
    <w:rsid w:val="000456B4"/>
    <w:rsid w:val="000461A0"/>
    <w:rsid w:val="0004678E"/>
    <w:rsid w:val="000469D7"/>
    <w:rsid w:val="00046EDB"/>
    <w:rsid w:val="000473F6"/>
    <w:rsid w:val="00047574"/>
    <w:rsid w:val="000512C8"/>
    <w:rsid w:val="000512D0"/>
    <w:rsid w:val="0005147E"/>
    <w:rsid w:val="0005163C"/>
    <w:rsid w:val="00051B9A"/>
    <w:rsid w:val="000521A2"/>
    <w:rsid w:val="00052244"/>
    <w:rsid w:val="00053198"/>
    <w:rsid w:val="0005341B"/>
    <w:rsid w:val="00053A09"/>
    <w:rsid w:val="0005409D"/>
    <w:rsid w:val="0005470B"/>
    <w:rsid w:val="00054BFB"/>
    <w:rsid w:val="00054EBA"/>
    <w:rsid w:val="000555B5"/>
    <w:rsid w:val="00055D8E"/>
    <w:rsid w:val="0005692E"/>
    <w:rsid w:val="00057340"/>
    <w:rsid w:val="00057A91"/>
    <w:rsid w:val="00057D22"/>
    <w:rsid w:val="00057DAB"/>
    <w:rsid w:val="00060570"/>
    <w:rsid w:val="00060ABA"/>
    <w:rsid w:val="00061011"/>
    <w:rsid w:val="00061220"/>
    <w:rsid w:val="00062378"/>
    <w:rsid w:val="00062739"/>
    <w:rsid w:val="00062ED0"/>
    <w:rsid w:val="00063B37"/>
    <w:rsid w:val="000642F1"/>
    <w:rsid w:val="00064342"/>
    <w:rsid w:val="00065A63"/>
    <w:rsid w:val="00066395"/>
    <w:rsid w:val="00066718"/>
    <w:rsid w:val="00066931"/>
    <w:rsid w:val="0006739C"/>
    <w:rsid w:val="0006762F"/>
    <w:rsid w:val="00071028"/>
    <w:rsid w:val="000710EB"/>
    <w:rsid w:val="0007168C"/>
    <w:rsid w:val="00071B69"/>
    <w:rsid w:val="00071DE9"/>
    <w:rsid w:val="000724B7"/>
    <w:rsid w:val="00072EA8"/>
    <w:rsid w:val="0007670C"/>
    <w:rsid w:val="000768BD"/>
    <w:rsid w:val="00076F09"/>
    <w:rsid w:val="000771F9"/>
    <w:rsid w:val="00080482"/>
    <w:rsid w:val="00082524"/>
    <w:rsid w:val="00082A84"/>
    <w:rsid w:val="000830B1"/>
    <w:rsid w:val="00083E3C"/>
    <w:rsid w:val="00084398"/>
    <w:rsid w:val="0008566D"/>
    <w:rsid w:val="00086383"/>
    <w:rsid w:val="000863B3"/>
    <w:rsid w:val="000864B3"/>
    <w:rsid w:val="00086745"/>
    <w:rsid w:val="00086CA0"/>
    <w:rsid w:val="000871AA"/>
    <w:rsid w:val="00087E71"/>
    <w:rsid w:val="00090568"/>
    <w:rsid w:val="00090FC7"/>
    <w:rsid w:val="0009110D"/>
    <w:rsid w:val="00091355"/>
    <w:rsid w:val="0009172A"/>
    <w:rsid w:val="00091896"/>
    <w:rsid w:val="00091E5B"/>
    <w:rsid w:val="00091FF7"/>
    <w:rsid w:val="00091FFB"/>
    <w:rsid w:val="00092947"/>
    <w:rsid w:val="00092B88"/>
    <w:rsid w:val="00092CD4"/>
    <w:rsid w:val="000934F4"/>
    <w:rsid w:val="000936CA"/>
    <w:rsid w:val="0009405B"/>
    <w:rsid w:val="00094258"/>
    <w:rsid w:val="00094D57"/>
    <w:rsid w:val="00094DD8"/>
    <w:rsid w:val="00095469"/>
    <w:rsid w:val="00095B52"/>
    <w:rsid w:val="00095C0A"/>
    <w:rsid w:val="00095FAC"/>
    <w:rsid w:val="00096006"/>
    <w:rsid w:val="000969F6"/>
    <w:rsid w:val="0009728B"/>
    <w:rsid w:val="0009730A"/>
    <w:rsid w:val="00097A70"/>
    <w:rsid w:val="00097F1A"/>
    <w:rsid w:val="000A072C"/>
    <w:rsid w:val="000A0A97"/>
    <w:rsid w:val="000A195F"/>
    <w:rsid w:val="000A1DD9"/>
    <w:rsid w:val="000A223F"/>
    <w:rsid w:val="000A24A0"/>
    <w:rsid w:val="000A2BEA"/>
    <w:rsid w:val="000A2C1B"/>
    <w:rsid w:val="000A2FEA"/>
    <w:rsid w:val="000A346B"/>
    <w:rsid w:val="000A3631"/>
    <w:rsid w:val="000A5866"/>
    <w:rsid w:val="000A5EE5"/>
    <w:rsid w:val="000A61AC"/>
    <w:rsid w:val="000A6B43"/>
    <w:rsid w:val="000A6E1B"/>
    <w:rsid w:val="000A70D2"/>
    <w:rsid w:val="000B0797"/>
    <w:rsid w:val="000B0803"/>
    <w:rsid w:val="000B0EFE"/>
    <w:rsid w:val="000B0F41"/>
    <w:rsid w:val="000B1230"/>
    <w:rsid w:val="000B1361"/>
    <w:rsid w:val="000B17B2"/>
    <w:rsid w:val="000B18C3"/>
    <w:rsid w:val="000B2AF2"/>
    <w:rsid w:val="000B3276"/>
    <w:rsid w:val="000B3529"/>
    <w:rsid w:val="000B3CE4"/>
    <w:rsid w:val="000B44A0"/>
    <w:rsid w:val="000B46D0"/>
    <w:rsid w:val="000B4B0A"/>
    <w:rsid w:val="000B51EF"/>
    <w:rsid w:val="000B5D9F"/>
    <w:rsid w:val="000B5E71"/>
    <w:rsid w:val="000B6291"/>
    <w:rsid w:val="000B654D"/>
    <w:rsid w:val="000B65AA"/>
    <w:rsid w:val="000B66CC"/>
    <w:rsid w:val="000B6BB4"/>
    <w:rsid w:val="000B6FD9"/>
    <w:rsid w:val="000B7022"/>
    <w:rsid w:val="000B7180"/>
    <w:rsid w:val="000B741B"/>
    <w:rsid w:val="000B7E18"/>
    <w:rsid w:val="000C06DF"/>
    <w:rsid w:val="000C08E0"/>
    <w:rsid w:val="000C0DF4"/>
    <w:rsid w:val="000C1329"/>
    <w:rsid w:val="000C138E"/>
    <w:rsid w:val="000C1CF2"/>
    <w:rsid w:val="000C28DD"/>
    <w:rsid w:val="000C2A50"/>
    <w:rsid w:val="000C2B0F"/>
    <w:rsid w:val="000C3F3E"/>
    <w:rsid w:val="000C56BD"/>
    <w:rsid w:val="000C5A91"/>
    <w:rsid w:val="000C5B85"/>
    <w:rsid w:val="000C640E"/>
    <w:rsid w:val="000C7139"/>
    <w:rsid w:val="000C7DC8"/>
    <w:rsid w:val="000D09E3"/>
    <w:rsid w:val="000D0A18"/>
    <w:rsid w:val="000D0F86"/>
    <w:rsid w:val="000D11F0"/>
    <w:rsid w:val="000D142F"/>
    <w:rsid w:val="000D1995"/>
    <w:rsid w:val="000D1AB7"/>
    <w:rsid w:val="000D1B53"/>
    <w:rsid w:val="000D1CCE"/>
    <w:rsid w:val="000D254C"/>
    <w:rsid w:val="000D33BB"/>
    <w:rsid w:val="000D3AC2"/>
    <w:rsid w:val="000D3C40"/>
    <w:rsid w:val="000D40E3"/>
    <w:rsid w:val="000D4590"/>
    <w:rsid w:val="000D58E1"/>
    <w:rsid w:val="000D688B"/>
    <w:rsid w:val="000D7272"/>
    <w:rsid w:val="000D75ED"/>
    <w:rsid w:val="000E195D"/>
    <w:rsid w:val="000E234B"/>
    <w:rsid w:val="000E2633"/>
    <w:rsid w:val="000E26C2"/>
    <w:rsid w:val="000E271B"/>
    <w:rsid w:val="000E29DF"/>
    <w:rsid w:val="000E3AF3"/>
    <w:rsid w:val="000E4042"/>
    <w:rsid w:val="000E4056"/>
    <w:rsid w:val="000E46D9"/>
    <w:rsid w:val="000E485E"/>
    <w:rsid w:val="000E48D2"/>
    <w:rsid w:val="000E59A5"/>
    <w:rsid w:val="000E5D46"/>
    <w:rsid w:val="000E6D1B"/>
    <w:rsid w:val="000E6D49"/>
    <w:rsid w:val="000E7BE6"/>
    <w:rsid w:val="000F0642"/>
    <w:rsid w:val="000F0BEF"/>
    <w:rsid w:val="000F0FC9"/>
    <w:rsid w:val="000F1982"/>
    <w:rsid w:val="000F22AD"/>
    <w:rsid w:val="000F3B86"/>
    <w:rsid w:val="000F43E9"/>
    <w:rsid w:val="000F5236"/>
    <w:rsid w:val="000F529B"/>
    <w:rsid w:val="000F561F"/>
    <w:rsid w:val="000F57D1"/>
    <w:rsid w:val="000F5F06"/>
    <w:rsid w:val="000F6491"/>
    <w:rsid w:val="000F64F5"/>
    <w:rsid w:val="000F69CC"/>
    <w:rsid w:val="000F69E8"/>
    <w:rsid w:val="000F6F4C"/>
    <w:rsid w:val="001006A2"/>
    <w:rsid w:val="0010158B"/>
    <w:rsid w:val="00101801"/>
    <w:rsid w:val="00102358"/>
    <w:rsid w:val="00103278"/>
    <w:rsid w:val="001037BC"/>
    <w:rsid w:val="00103A95"/>
    <w:rsid w:val="00103AB7"/>
    <w:rsid w:val="00103F40"/>
    <w:rsid w:val="00103F6E"/>
    <w:rsid w:val="00103FED"/>
    <w:rsid w:val="00105E29"/>
    <w:rsid w:val="00110550"/>
    <w:rsid w:val="00111AAC"/>
    <w:rsid w:val="00111B39"/>
    <w:rsid w:val="00111E9C"/>
    <w:rsid w:val="00112749"/>
    <w:rsid w:val="00112B98"/>
    <w:rsid w:val="0011342B"/>
    <w:rsid w:val="00113B70"/>
    <w:rsid w:val="00114E43"/>
    <w:rsid w:val="0011516C"/>
    <w:rsid w:val="0011540A"/>
    <w:rsid w:val="00115A3B"/>
    <w:rsid w:val="001163A3"/>
    <w:rsid w:val="00116AA5"/>
    <w:rsid w:val="00116FB2"/>
    <w:rsid w:val="00117306"/>
    <w:rsid w:val="001175F1"/>
    <w:rsid w:val="00117A51"/>
    <w:rsid w:val="00120867"/>
    <w:rsid w:val="00120C4B"/>
    <w:rsid w:val="00120E94"/>
    <w:rsid w:val="0012109F"/>
    <w:rsid w:val="00121628"/>
    <w:rsid w:val="001217A6"/>
    <w:rsid w:val="001218CD"/>
    <w:rsid w:val="001218DD"/>
    <w:rsid w:val="00122A1D"/>
    <w:rsid w:val="00122D36"/>
    <w:rsid w:val="00122E6A"/>
    <w:rsid w:val="00123141"/>
    <w:rsid w:val="00123851"/>
    <w:rsid w:val="00123998"/>
    <w:rsid w:val="00124391"/>
    <w:rsid w:val="00126548"/>
    <w:rsid w:val="00126649"/>
    <w:rsid w:val="00126F74"/>
    <w:rsid w:val="001304BA"/>
    <w:rsid w:val="00130B5D"/>
    <w:rsid w:val="00130E9A"/>
    <w:rsid w:val="0013101C"/>
    <w:rsid w:val="001317B1"/>
    <w:rsid w:val="00131A48"/>
    <w:rsid w:val="00131E5A"/>
    <w:rsid w:val="00132271"/>
    <w:rsid w:val="00132827"/>
    <w:rsid w:val="00134407"/>
    <w:rsid w:val="00134467"/>
    <w:rsid w:val="00135296"/>
    <w:rsid w:val="0013586E"/>
    <w:rsid w:val="00135A79"/>
    <w:rsid w:val="00135C48"/>
    <w:rsid w:val="0013602C"/>
    <w:rsid w:val="00136433"/>
    <w:rsid w:val="0013747B"/>
    <w:rsid w:val="0014084B"/>
    <w:rsid w:val="001423E7"/>
    <w:rsid w:val="00142523"/>
    <w:rsid w:val="001449D4"/>
    <w:rsid w:val="00146427"/>
    <w:rsid w:val="00146993"/>
    <w:rsid w:val="00146C8F"/>
    <w:rsid w:val="00147154"/>
    <w:rsid w:val="001471DC"/>
    <w:rsid w:val="001477B6"/>
    <w:rsid w:val="00147C0A"/>
    <w:rsid w:val="00147D42"/>
    <w:rsid w:val="00150E92"/>
    <w:rsid w:val="001512B4"/>
    <w:rsid w:val="00151576"/>
    <w:rsid w:val="001518CE"/>
    <w:rsid w:val="00152469"/>
    <w:rsid w:val="00153431"/>
    <w:rsid w:val="001542BD"/>
    <w:rsid w:val="0015526C"/>
    <w:rsid w:val="001559D1"/>
    <w:rsid w:val="001559D8"/>
    <w:rsid w:val="00156CA5"/>
    <w:rsid w:val="001602D1"/>
    <w:rsid w:val="00160738"/>
    <w:rsid w:val="00161880"/>
    <w:rsid w:val="00161B22"/>
    <w:rsid w:val="0016235A"/>
    <w:rsid w:val="00162467"/>
    <w:rsid w:val="00163529"/>
    <w:rsid w:val="00163875"/>
    <w:rsid w:val="00163B6F"/>
    <w:rsid w:val="00163D26"/>
    <w:rsid w:val="00163EE2"/>
    <w:rsid w:val="00164237"/>
    <w:rsid w:val="001648F8"/>
    <w:rsid w:val="00164B24"/>
    <w:rsid w:val="001650DB"/>
    <w:rsid w:val="001654C6"/>
    <w:rsid w:val="001655A9"/>
    <w:rsid w:val="0016569B"/>
    <w:rsid w:val="00165727"/>
    <w:rsid w:val="0016574D"/>
    <w:rsid w:val="00166179"/>
    <w:rsid w:val="00167DDE"/>
    <w:rsid w:val="00170518"/>
    <w:rsid w:val="00170899"/>
    <w:rsid w:val="00170997"/>
    <w:rsid w:val="00170D4E"/>
    <w:rsid w:val="00172163"/>
    <w:rsid w:val="0017272B"/>
    <w:rsid w:val="00172F68"/>
    <w:rsid w:val="00173D33"/>
    <w:rsid w:val="00173D66"/>
    <w:rsid w:val="00174A57"/>
    <w:rsid w:val="0017576A"/>
    <w:rsid w:val="001758CD"/>
    <w:rsid w:val="00176060"/>
    <w:rsid w:val="001762E8"/>
    <w:rsid w:val="001769C3"/>
    <w:rsid w:val="001800AA"/>
    <w:rsid w:val="00180D04"/>
    <w:rsid w:val="00180F74"/>
    <w:rsid w:val="001821B9"/>
    <w:rsid w:val="00183044"/>
    <w:rsid w:val="0018373A"/>
    <w:rsid w:val="0018384D"/>
    <w:rsid w:val="001859FE"/>
    <w:rsid w:val="001865A3"/>
    <w:rsid w:val="0018690E"/>
    <w:rsid w:val="001879F0"/>
    <w:rsid w:val="00187AEE"/>
    <w:rsid w:val="001901E1"/>
    <w:rsid w:val="001908B8"/>
    <w:rsid w:val="00192640"/>
    <w:rsid w:val="0019291B"/>
    <w:rsid w:val="00192B0F"/>
    <w:rsid w:val="001931E7"/>
    <w:rsid w:val="00193299"/>
    <w:rsid w:val="001938CF"/>
    <w:rsid w:val="001941A4"/>
    <w:rsid w:val="00194336"/>
    <w:rsid w:val="00195051"/>
    <w:rsid w:val="0019523B"/>
    <w:rsid w:val="00195903"/>
    <w:rsid w:val="00195942"/>
    <w:rsid w:val="00195D9A"/>
    <w:rsid w:val="00195E01"/>
    <w:rsid w:val="00196BCC"/>
    <w:rsid w:val="0019733A"/>
    <w:rsid w:val="001A036E"/>
    <w:rsid w:val="001A1C0D"/>
    <w:rsid w:val="001A2481"/>
    <w:rsid w:val="001A29D9"/>
    <w:rsid w:val="001A3E52"/>
    <w:rsid w:val="001A40C6"/>
    <w:rsid w:val="001A4214"/>
    <w:rsid w:val="001A43F3"/>
    <w:rsid w:val="001A4A15"/>
    <w:rsid w:val="001A4A52"/>
    <w:rsid w:val="001A6B87"/>
    <w:rsid w:val="001A6C27"/>
    <w:rsid w:val="001A6EB9"/>
    <w:rsid w:val="001A7EC9"/>
    <w:rsid w:val="001B01C6"/>
    <w:rsid w:val="001B1D10"/>
    <w:rsid w:val="001B3084"/>
    <w:rsid w:val="001B33BA"/>
    <w:rsid w:val="001B513C"/>
    <w:rsid w:val="001B5264"/>
    <w:rsid w:val="001B5294"/>
    <w:rsid w:val="001B5359"/>
    <w:rsid w:val="001B558E"/>
    <w:rsid w:val="001B650F"/>
    <w:rsid w:val="001B6862"/>
    <w:rsid w:val="001B745A"/>
    <w:rsid w:val="001B7707"/>
    <w:rsid w:val="001C0349"/>
    <w:rsid w:val="001C09EF"/>
    <w:rsid w:val="001C10C3"/>
    <w:rsid w:val="001C1454"/>
    <w:rsid w:val="001C1539"/>
    <w:rsid w:val="001C173F"/>
    <w:rsid w:val="001C18FB"/>
    <w:rsid w:val="001C3634"/>
    <w:rsid w:val="001C3A18"/>
    <w:rsid w:val="001C3E95"/>
    <w:rsid w:val="001C44E2"/>
    <w:rsid w:val="001C476B"/>
    <w:rsid w:val="001C51AB"/>
    <w:rsid w:val="001C566F"/>
    <w:rsid w:val="001C5B63"/>
    <w:rsid w:val="001C5CAA"/>
    <w:rsid w:val="001C5FD0"/>
    <w:rsid w:val="001C62EA"/>
    <w:rsid w:val="001C6388"/>
    <w:rsid w:val="001C6B9A"/>
    <w:rsid w:val="001C764B"/>
    <w:rsid w:val="001D012E"/>
    <w:rsid w:val="001D09E6"/>
    <w:rsid w:val="001D10FF"/>
    <w:rsid w:val="001D19F3"/>
    <w:rsid w:val="001D285D"/>
    <w:rsid w:val="001D2A00"/>
    <w:rsid w:val="001D2AA6"/>
    <w:rsid w:val="001D38F7"/>
    <w:rsid w:val="001D49BE"/>
    <w:rsid w:val="001D4CB0"/>
    <w:rsid w:val="001D4D4F"/>
    <w:rsid w:val="001D4ED0"/>
    <w:rsid w:val="001D5028"/>
    <w:rsid w:val="001D556D"/>
    <w:rsid w:val="001D5892"/>
    <w:rsid w:val="001D5E1F"/>
    <w:rsid w:val="001D5FF6"/>
    <w:rsid w:val="001D6297"/>
    <w:rsid w:val="001E0754"/>
    <w:rsid w:val="001E0E6B"/>
    <w:rsid w:val="001E1090"/>
    <w:rsid w:val="001E112F"/>
    <w:rsid w:val="001E1871"/>
    <w:rsid w:val="001E1985"/>
    <w:rsid w:val="001E211C"/>
    <w:rsid w:val="001E3935"/>
    <w:rsid w:val="001E3FC8"/>
    <w:rsid w:val="001E4250"/>
    <w:rsid w:val="001E4512"/>
    <w:rsid w:val="001E45F6"/>
    <w:rsid w:val="001E4881"/>
    <w:rsid w:val="001E522E"/>
    <w:rsid w:val="001E5543"/>
    <w:rsid w:val="001E55E6"/>
    <w:rsid w:val="001E5C89"/>
    <w:rsid w:val="001E601F"/>
    <w:rsid w:val="001E6550"/>
    <w:rsid w:val="001E685F"/>
    <w:rsid w:val="001E69A9"/>
    <w:rsid w:val="001E6D19"/>
    <w:rsid w:val="001F0281"/>
    <w:rsid w:val="001F035A"/>
    <w:rsid w:val="001F14BE"/>
    <w:rsid w:val="001F14F2"/>
    <w:rsid w:val="001F1596"/>
    <w:rsid w:val="001F1BE0"/>
    <w:rsid w:val="001F1EA5"/>
    <w:rsid w:val="001F2076"/>
    <w:rsid w:val="001F2739"/>
    <w:rsid w:val="001F284B"/>
    <w:rsid w:val="001F2CB1"/>
    <w:rsid w:val="001F3381"/>
    <w:rsid w:val="001F355D"/>
    <w:rsid w:val="001F3632"/>
    <w:rsid w:val="001F3E87"/>
    <w:rsid w:val="001F47AC"/>
    <w:rsid w:val="001F4819"/>
    <w:rsid w:val="001F4A20"/>
    <w:rsid w:val="001F537D"/>
    <w:rsid w:val="001F537F"/>
    <w:rsid w:val="001F5D14"/>
    <w:rsid w:val="001F5DDD"/>
    <w:rsid w:val="001F6BC5"/>
    <w:rsid w:val="001F6F6D"/>
    <w:rsid w:val="001F7CFB"/>
    <w:rsid w:val="00201773"/>
    <w:rsid w:val="002021F9"/>
    <w:rsid w:val="002022B1"/>
    <w:rsid w:val="00202768"/>
    <w:rsid w:val="002029B6"/>
    <w:rsid w:val="00202A52"/>
    <w:rsid w:val="00203F25"/>
    <w:rsid w:val="0020436C"/>
    <w:rsid w:val="00204AD1"/>
    <w:rsid w:val="00205426"/>
    <w:rsid w:val="00205F77"/>
    <w:rsid w:val="00206882"/>
    <w:rsid w:val="00206CC1"/>
    <w:rsid w:val="00206F3E"/>
    <w:rsid w:val="00206FC8"/>
    <w:rsid w:val="0020737F"/>
    <w:rsid w:val="002073D1"/>
    <w:rsid w:val="002075A3"/>
    <w:rsid w:val="0020763B"/>
    <w:rsid w:val="0021121F"/>
    <w:rsid w:val="00211BC7"/>
    <w:rsid w:val="0021262D"/>
    <w:rsid w:val="0021397A"/>
    <w:rsid w:val="00216528"/>
    <w:rsid w:val="0021681D"/>
    <w:rsid w:val="00216EE3"/>
    <w:rsid w:val="002173A4"/>
    <w:rsid w:val="002202B6"/>
    <w:rsid w:val="00221547"/>
    <w:rsid w:val="0022206F"/>
    <w:rsid w:val="002223B8"/>
    <w:rsid w:val="00222B5E"/>
    <w:rsid w:val="00223306"/>
    <w:rsid w:val="002238FF"/>
    <w:rsid w:val="002240E4"/>
    <w:rsid w:val="002247AB"/>
    <w:rsid w:val="00224BC9"/>
    <w:rsid w:val="00224D1B"/>
    <w:rsid w:val="002253D1"/>
    <w:rsid w:val="00225B52"/>
    <w:rsid w:val="00225EF1"/>
    <w:rsid w:val="00226C5F"/>
    <w:rsid w:val="0022741C"/>
    <w:rsid w:val="00227E9E"/>
    <w:rsid w:val="00230770"/>
    <w:rsid w:val="00230CD8"/>
    <w:rsid w:val="00230CE0"/>
    <w:rsid w:val="00231198"/>
    <w:rsid w:val="00232FF8"/>
    <w:rsid w:val="00233199"/>
    <w:rsid w:val="00234741"/>
    <w:rsid w:val="00234B6E"/>
    <w:rsid w:val="00234DA7"/>
    <w:rsid w:val="002354A0"/>
    <w:rsid w:val="002355E1"/>
    <w:rsid w:val="002359F3"/>
    <w:rsid w:val="002364EA"/>
    <w:rsid w:val="00237018"/>
    <w:rsid w:val="002375F3"/>
    <w:rsid w:val="00237939"/>
    <w:rsid w:val="00237A00"/>
    <w:rsid w:val="002400F1"/>
    <w:rsid w:val="002405A3"/>
    <w:rsid w:val="00240739"/>
    <w:rsid w:val="00240AF2"/>
    <w:rsid w:val="0024178B"/>
    <w:rsid w:val="002417A9"/>
    <w:rsid w:val="00241828"/>
    <w:rsid w:val="00242009"/>
    <w:rsid w:val="00243A37"/>
    <w:rsid w:val="0024418A"/>
    <w:rsid w:val="002443E9"/>
    <w:rsid w:val="00244E60"/>
    <w:rsid w:val="0024504B"/>
    <w:rsid w:val="00245B33"/>
    <w:rsid w:val="00245B4B"/>
    <w:rsid w:val="0024644E"/>
    <w:rsid w:val="002469AC"/>
    <w:rsid w:val="00246B6E"/>
    <w:rsid w:val="00247B77"/>
    <w:rsid w:val="00247D59"/>
    <w:rsid w:val="00250E7B"/>
    <w:rsid w:val="00250F35"/>
    <w:rsid w:val="00251A72"/>
    <w:rsid w:val="00251C22"/>
    <w:rsid w:val="002523CA"/>
    <w:rsid w:val="00252460"/>
    <w:rsid w:val="0025253D"/>
    <w:rsid w:val="00252773"/>
    <w:rsid w:val="002527B2"/>
    <w:rsid w:val="00252C16"/>
    <w:rsid w:val="0025377A"/>
    <w:rsid w:val="00253E34"/>
    <w:rsid w:val="0025402F"/>
    <w:rsid w:val="00254D2F"/>
    <w:rsid w:val="00254EDA"/>
    <w:rsid w:val="002554EA"/>
    <w:rsid w:val="0025577D"/>
    <w:rsid w:val="00255D77"/>
    <w:rsid w:val="00255EBA"/>
    <w:rsid w:val="002565F8"/>
    <w:rsid w:val="002566CF"/>
    <w:rsid w:val="0025694B"/>
    <w:rsid w:val="002577D2"/>
    <w:rsid w:val="00257E9C"/>
    <w:rsid w:val="00261F2B"/>
    <w:rsid w:val="00262B04"/>
    <w:rsid w:val="00263378"/>
    <w:rsid w:val="002633EB"/>
    <w:rsid w:val="00263769"/>
    <w:rsid w:val="00263F63"/>
    <w:rsid w:val="00264A53"/>
    <w:rsid w:val="00264E5E"/>
    <w:rsid w:val="00265086"/>
    <w:rsid w:val="002669D5"/>
    <w:rsid w:val="00266B4E"/>
    <w:rsid w:val="00266D2C"/>
    <w:rsid w:val="00266FE4"/>
    <w:rsid w:val="0026704E"/>
    <w:rsid w:val="00270AD8"/>
    <w:rsid w:val="00270BF8"/>
    <w:rsid w:val="0027196F"/>
    <w:rsid w:val="00271E98"/>
    <w:rsid w:val="0027337D"/>
    <w:rsid w:val="00273BFB"/>
    <w:rsid w:val="00273E3F"/>
    <w:rsid w:val="00273EE8"/>
    <w:rsid w:val="002745C9"/>
    <w:rsid w:val="002758EE"/>
    <w:rsid w:val="00276255"/>
    <w:rsid w:val="00276DCE"/>
    <w:rsid w:val="00276F18"/>
    <w:rsid w:val="00276F35"/>
    <w:rsid w:val="00276FAE"/>
    <w:rsid w:val="00276FE5"/>
    <w:rsid w:val="002779B3"/>
    <w:rsid w:val="00277B89"/>
    <w:rsid w:val="00281E71"/>
    <w:rsid w:val="00282BE8"/>
    <w:rsid w:val="00282CFF"/>
    <w:rsid w:val="002837D0"/>
    <w:rsid w:val="00283FD4"/>
    <w:rsid w:val="00284C47"/>
    <w:rsid w:val="00285B9C"/>
    <w:rsid w:val="00286875"/>
    <w:rsid w:val="00286880"/>
    <w:rsid w:val="00286CD1"/>
    <w:rsid w:val="002878B3"/>
    <w:rsid w:val="00287C7C"/>
    <w:rsid w:val="00287D77"/>
    <w:rsid w:val="00287F2E"/>
    <w:rsid w:val="00290052"/>
    <w:rsid w:val="00291674"/>
    <w:rsid w:val="00291795"/>
    <w:rsid w:val="00291CCC"/>
    <w:rsid w:val="00292736"/>
    <w:rsid w:val="00292D28"/>
    <w:rsid w:val="002939E2"/>
    <w:rsid w:val="00293A7C"/>
    <w:rsid w:val="00294F59"/>
    <w:rsid w:val="00294FA4"/>
    <w:rsid w:val="00295715"/>
    <w:rsid w:val="00295E61"/>
    <w:rsid w:val="002967F1"/>
    <w:rsid w:val="002973CB"/>
    <w:rsid w:val="002A029A"/>
    <w:rsid w:val="002A0C22"/>
    <w:rsid w:val="002A132D"/>
    <w:rsid w:val="002A1F7E"/>
    <w:rsid w:val="002A2800"/>
    <w:rsid w:val="002A31D6"/>
    <w:rsid w:val="002A31E1"/>
    <w:rsid w:val="002A32FA"/>
    <w:rsid w:val="002A3B5B"/>
    <w:rsid w:val="002A4BAB"/>
    <w:rsid w:val="002A5250"/>
    <w:rsid w:val="002A5A18"/>
    <w:rsid w:val="002A5B98"/>
    <w:rsid w:val="002A6208"/>
    <w:rsid w:val="002A68CF"/>
    <w:rsid w:val="002A6A1B"/>
    <w:rsid w:val="002A6D34"/>
    <w:rsid w:val="002A728C"/>
    <w:rsid w:val="002A75A3"/>
    <w:rsid w:val="002B05A2"/>
    <w:rsid w:val="002B0D78"/>
    <w:rsid w:val="002B14BE"/>
    <w:rsid w:val="002B1520"/>
    <w:rsid w:val="002B1AEF"/>
    <w:rsid w:val="002B21AE"/>
    <w:rsid w:val="002B27A3"/>
    <w:rsid w:val="002B3F70"/>
    <w:rsid w:val="002B54CB"/>
    <w:rsid w:val="002B566F"/>
    <w:rsid w:val="002B5F95"/>
    <w:rsid w:val="002B66D9"/>
    <w:rsid w:val="002B694D"/>
    <w:rsid w:val="002B6A02"/>
    <w:rsid w:val="002B7912"/>
    <w:rsid w:val="002B7A02"/>
    <w:rsid w:val="002B7C0F"/>
    <w:rsid w:val="002B7D32"/>
    <w:rsid w:val="002B7E8C"/>
    <w:rsid w:val="002C016A"/>
    <w:rsid w:val="002C043F"/>
    <w:rsid w:val="002C0927"/>
    <w:rsid w:val="002C0CAB"/>
    <w:rsid w:val="002C0FE0"/>
    <w:rsid w:val="002C13F1"/>
    <w:rsid w:val="002C21DD"/>
    <w:rsid w:val="002C2AE9"/>
    <w:rsid w:val="002C34C8"/>
    <w:rsid w:val="002C41CA"/>
    <w:rsid w:val="002C43EF"/>
    <w:rsid w:val="002C5BD1"/>
    <w:rsid w:val="002C5F19"/>
    <w:rsid w:val="002C65BB"/>
    <w:rsid w:val="002D0FF8"/>
    <w:rsid w:val="002D110F"/>
    <w:rsid w:val="002D1BF3"/>
    <w:rsid w:val="002D2C59"/>
    <w:rsid w:val="002D3770"/>
    <w:rsid w:val="002D3A22"/>
    <w:rsid w:val="002D409E"/>
    <w:rsid w:val="002D460D"/>
    <w:rsid w:val="002D482D"/>
    <w:rsid w:val="002D49EC"/>
    <w:rsid w:val="002D4BE4"/>
    <w:rsid w:val="002D5C15"/>
    <w:rsid w:val="002D60F4"/>
    <w:rsid w:val="002D6819"/>
    <w:rsid w:val="002D6872"/>
    <w:rsid w:val="002D6F31"/>
    <w:rsid w:val="002D7346"/>
    <w:rsid w:val="002E04C9"/>
    <w:rsid w:val="002E05F0"/>
    <w:rsid w:val="002E0753"/>
    <w:rsid w:val="002E127E"/>
    <w:rsid w:val="002E1374"/>
    <w:rsid w:val="002E1FD1"/>
    <w:rsid w:val="002E245F"/>
    <w:rsid w:val="002E2FC6"/>
    <w:rsid w:val="002E3BBE"/>
    <w:rsid w:val="002E4218"/>
    <w:rsid w:val="002E4422"/>
    <w:rsid w:val="002E56A6"/>
    <w:rsid w:val="002E63DE"/>
    <w:rsid w:val="002E6810"/>
    <w:rsid w:val="002E6D01"/>
    <w:rsid w:val="002E75C6"/>
    <w:rsid w:val="002E77CD"/>
    <w:rsid w:val="002E78B9"/>
    <w:rsid w:val="002E7E47"/>
    <w:rsid w:val="002F0EA0"/>
    <w:rsid w:val="002F1008"/>
    <w:rsid w:val="002F104D"/>
    <w:rsid w:val="002F1482"/>
    <w:rsid w:val="002F17BE"/>
    <w:rsid w:val="002F1C76"/>
    <w:rsid w:val="002F2FD7"/>
    <w:rsid w:val="002F3101"/>
    <w:rsid w:val="002F3107"/>
    <w:rsid w:val="002F32AB"/>
    <w:rsid w:val="002F341B"/>
    <w:rsid w:val="002F3A51"/>
    <w:rsid w:val="002F44A7"/>
    <w:rsid w:val="002F451B"/>
    <w:rsid w:val="002F4BAC"/>
    <w:rsid w:val="002F4BC3"/>
    <w:rsid w:val="002F4CB7"/>
    <w:rsid w:val="002F4D01"/>
    <w:rsid w:val="002F4F5E"/>
    <w:rsid w:val="002F5C0A"/>
    <w:rsid w:val="002F5D22"/>
    <w:rsid w:val="002F64E8"/>
    <w:rsid w:val="002F7000"/>
    <w:rsid w:val="002F7034"/>
    <w:rsid w:val="00300CAD"/>
    <w:rsid w:val="003010B9"/>
    <w:rsid w:val="00301BE8"/>
    <w:rsid w:val="00303C9E"/>
    <w:rsid w:val="00304137"/>
    <w:rsid w:val="00304496"/>
    <w:rsid w:val="0030467B"/>
    <w:rsid w:val="00304947"/>
    <w:rsid w:val="0030496C"/>
    <w:rsid w:val="00304BE0"/>
    <w:rsid w:val="00304EC5"/>
    <w:rsid w:val="00305AEE"/>
    <w:rsid w:val="00306930"/>
    <w:rsid w:val="00307402"/>
    <w:rsid w:val="00307B9E"/>
    <w:rsid w:val="003105BC"/>
    <w:rsid w:val="0031166D"/>
    <w:rsid w:val="003118BD"/>
    <w:rsid w:val="00311BAF"/>
    <w:rsid w:val="0031200F"/>
    <w:rsid w:val="003124A4"/>
    <w:rsid w:val="003137FE"/>
    <w:rsid w:val="0031387D"/>
    <w:rsid w:val="00313F70"/>
    <w:rsid w:val="00314E29"/>
    <w:rsid w:val="003151C3"/>
    <w:rsid w:val="0031592F"/>
    <w:rsid w:val="00315D0D"/>
    <w:rsid w:val="003161A9"/>
    <w:rsid w:val="003161AD"/>
    <w:rsid w:val="00317260"/>
    <w:rsid w:val="003178AA"/>
    <w:rsid w:val="00317DF0"/>
    <w:rsid w:val="00320280"/>
    <w:rsid w:val="00320679"/>
    <w:rsid w:val="003206F3"/>
    <w:rsid w:val="003213B3"/>
    <w:rsid w:val="00321BC4"/>
    <w:rsid w:val="00321E0E"/>
    <w:rsid w:val="003221D0"/>
    <w:rsid w:val="0032260B"/>
    <w:rsid w:val="003228CA"/>
    <w:rsid w:val="0032293B"/>
    <w:rsid w:val="00322B4C"/>
    <w:rsid w:val="00322BA7"/>
    <w:rsid w:val="00323058"/>
    <w:rsid w:val="00323466"/>
    <w:rsid w:val="00325230"/>
    <w:rsid w:val="003255CC"/>
    <w:rsid w:val="00325845"/>
    <w:rsid w:val="00327BEA"/>
    <w:rsid w:val="00327CEA"/>
    <w:rsid w:val="00327F63"/>
    <w:rsid w:val="0033081A"/>
    <w:rsid w:val="00330ED4"/>
    <w:rsid w:val="0033151D"/>
    <w:rsid w:val="00331606"/>
    <w:rsid w:val="00331D9E"/>
    <w:rsid w:val="0033253D"/>
    <w:rsid w:val="0033254A"/>
    <w:rsid w:val="003338C2"/>
    <w:rsid w:val="00333A20"/>
    <w:rsid w:val="003341D4"/>
    <w:rsid w:val="003343D5"/>
    <w:rsid w:val="00334420"/>
    <w:rsid w:val="00334514"/>
    <w:rsid w:val="0033493F"/>
    <w:rsid w:val="00334A90"/>
    <w:rsid w:val="00335387"/>
    <w:rsid w:val="003353FC"/>
    <w:rsid w:val="00335A27"/>
    <w:rsid w:val="00335C28"/>
    <w:rsid w:val="003360F4"/>
    <w:rsid w:val="00336727"/>
    <w:rsid w:val="00336B77"/>
    <w:rsid w:val="00336E9E"/>
    <w:rsid w:val="00337630"/>
    <w:rsid w:val="00337996"/>
    <w:rsid w:val="003406B8"/>
    <w:rsid w:val="00340AAC"/>
    <w:rsid w:val="00341344"/>
    <w:rsid w:val="0034139E"/>
    <w:rsid w:val="0034157F"/>
    <w:rsid w:val="003416ED"/>
    <w:rsid w:val="003417FD"/>
    <w:rsid w:val="003427BE"/>
    <w:rsid w:val="00342A60"/>
    <w:rsid w:val="00343998"/>
    <w:rsid w:val="00343EE4"/>
    <w:rsid w:val="003440EE"/>
    <w:rsid w:val="003448FE"/>
    <w:rsid w:val="00345747"/>
    <w:rsid w:val="00345952"/>
    <w:rsid w:val="00345AF5"/>
    <w:rsid w:val="00346B00"/>
    <w:rsid w:val="00346C7D"/>
    <w:rsid w:val="00346CEC"/>
    <w:rsid w:val="003471AB"/>
    <w:rsid w:val="003473CA"/>
    <w:rsid w:val="00347604"/>
    <w:rsid w:val="00347714"/>
    <w:rsid w:val="00350353"/>
    <w:rsid w:val="003503BF"/>
    <w:rsid w:val="00350E7A"/>
    <w:rsid w:val="003511A9"/>
    <w:rsid w:val="00352520"/>
    <w:rsid w:val="0035290E"/>
    <w:rsid w:val="00353101"/>
    <w:rsid w:val="003535B2"/>
    <w:rsid w:val="00354C37"/>
    <w:rsid w:val="003550FC"/>
    <w:rsid w:val="003554EE"/>
    <w:rsid w:val="003560F1"/>
    <w:rsid w:val="003569F1"/>
    <w:rsid w:val="00356AB3"/>
    <w:rsid w:val="003574DD"/>
    <w:rsid w:val="00357851"/>
    <w:rsid w:val="00360F6D"/>
    <w:rsid w:val="00361140"/>
    <w:rsid w:val="0036179E"/>
    <w:rsid w:val="003619F0"/>
    <w:rsid w:val="00361B87"/>
    <w:rsid w:val="003621FF"/>
    <w:rsid w:val="00362CD6"/>
    <w:rsid w:val="00363199"/>
    <w:rsid w:val="0036460F"/>
    <w:rsid w:val="0036478A"/>
    <w:rsid w:val="003647F5"/>
    <w:rsid w:val="003649FF"/>
    <w:rsid w:val="00364A33"/>
    <w:rsid w:val="003659F2"/>
    <w:rsid w:val="0036661B"/>
    <w:rsid w:val="003669A3"/>
    <w:rsid w:val="0036721F"/>
    <w:rsid w:val="00367C90"/>
    <w:rsid w:val="00370C05"/>
    <w:rsid w:val="00370C8F"/>
    <w:rsid w:val="00370FD5"/>
    <w:rsid w:val="00371FC8"/>
    <w:rsid w:val="00373415"/>
    <w:rsid w:val="00373EDE"/>
    <w:rsid w:val="00374531"/>
    <w:rsid w:val="00374E0B"/>
    <w:rsid w:val="00375491"/>
    <w:rsid w:val="00375606"/>
    <w:rsid w:val="003763C2"/>
    <w:rsid w:val="00376D63"/>
    <w:rsid w:val="003772BC"/>
    <w:rsid w:val="003776D7"/>
    <w:rsid w:val="003778D5"/>
    <w:rsid w:val="00377990"/>
    <w:rsid w:val="00377E68"/>
    <w:rsid w:val="003801E2"/>
    <w:rsid w:val="003802F1"/>
    <w:rsid w:val="003804F4"/>
    <w:rsid w:val="00380AB3"/>
    <w:rsid w:val="00381678"/>
    <w:rsid w:val="00381700"/>
    <w:rsid w:val="00382EFF"/>
    <w:rsid w:val="003835F9"/>
    <w:rsid w:val="0038398F"/>
    <w:rsid w:val="00383C32"/>
    <w:rsid w:val="00384FA0"/>
    <w:rsid w:val="003856B1"/>
    <w:rsid w:val="00385AD4"/>
    <w:rsid w:val="00386CAC"/>
    <w:rsid w:val="00386E99"/>
    <w:rsid w:val="0038781D"/>
    <w:rsid w:val="003878F5"/>
    <w:rsid w:val="003879AA"/>
    <w:rsid w:val="00387CB0"/>
    <w:rsid w:val="00391991"/>
    <w:rsid w:val="00392D42"/>
    <w:rsid w:val="003933FF"/>
    <w:rsid w:val="0039375E"/>
    <w:rsid w:val="00393F99"/>
    <w:rsid w:val="00393FA7"/>
    <w:rsid w:val="003944A2"/>
    <w:rsid w:val="00394C88"/>
    <w:rsid w:val="00394E49"/>
    <w:rsid w:val="00394F59"/>
    <w:rsid w:val="00394F9B"/>
    <w:rsid w:val="0039528D"/>
    <w:rsid w:val="00396377"/>
    <w:rsid w:val="003968C9"/>
    <w:rsid w:val="003A0C05"/>
    <w:rsid w:val="003A0EC4"/>
    <w:rsid w:val="003A15F3"/>
    <w:rsid w:val="003A1723"/>
    <w:rsid w:val="003A1728"/>
    <w:rsid w:val="003A209B"/>
    <w:rsid w:val="003A3896"/>
    <w:rsid w:val="003A3DE2"/>
    <w:rsid w:val="003A3FEB"/>
    <w:rsid w:val="003A40C8"/>
    <w:rsid w:val="003A45A8"/>
    <w:rsid w:val="003A4A0A"/>
    <w:rsid w:val="003A5231"/>
    <w:rsid w:val="003A5697"/>
    <w:rsid w:val="003A56E2"/>
    <w:rsid w:val="003A59AF"/>
    <w:rsid w:val="003A62B5"/>
    <w:rsid w:val="003A66DB"/>
    <w:rsid w:val="003A6F33"/>
    <w:rsid w:val="003A70F6"/>
    <w:rsid w:val="003A71EB"/>
    <w:rsid w:val="003B08EA"/>
    <w:rsid w:val="003B0A21"/>
    <w:rsid w:val="003B0D2D"/>
    <w:rsid w:val="003B1354"/>
    <w:rsid w:val="003B243D"/>
    <w:rsid w:val="003B2AE0"/>
    <w:rsid w:val="003B2ED7"/>
    <w:rsid w:val="003B34E2"/>
    <w:rsid w:val="003B4E72"/>
    <w:rsid w:val="003B5674"/>
    <w:rsid w:val="003B59B5"/>
    <w:rsid w:val="003B5F37"/>
    <w:rsid w:val="003B606F"/>
    <w:rsid w:val="003B65B8"/>
    <w:rsid w:val="003B68F5"/>
    <w:rsid w:val="003B727B"/>
    <w:rsid w:val="003B78DB"/>
    <w:rsid w:val="003B7A70"/>
    <w:rsid w:val="003B7C91"/>
    <w:rsid w:val="003B7D4F"/>
    <w:rsid w:val="003C0104"/>
    <w:rsid w:val="003C018D"/>
    <w:rsid w:val="003C0246"/>
    <w:rsid w:val="003C0339"/>
    <w:rsid w:val="003C0588"/>
    <w:rsid w:val="003C06D4"/>
    <w:rsid w:val="003C0801"/>
    <w:rsid w:val="003C0A0D"/>
    <w:rsid w:val="003C0A6D"/>
    <w:rsid w:val="003C1AF7"/>
    <w:rsid w:val="003C1B30"/>
    <w:rsid w:val="003C1FEA"/>
    <w:rsid w:val="003C388E"/>
    <w:rsid w:val="003C3FDB"/>
    <w:rsid w:val="003C459E"/>
    <w:rsid w:val="003C4683"/>
    <w:rsid w:val="003C5A96"/>
    <w:rsid w:val="003C5D9D"/>
    <w:rsid w:val="003C6569"/>
    <w:rsid w:val="003C6D2A"/>
    <w:rsid w:val="003C71C4"/>
    <w:rsid w:val="003C7450"/>
    <w:rsid w:val="003C7C7C"/>
    <w:rsid w:val="003D1458"/>
    <w:rsid w:val="003D1751"/>
    <w:rsid w:val="003D1781"/>
    <w:rsid w:val="003D2092"/>
    <w:rsid w:val="003D2574"/>
    <w:rsid w:val="003D2A85"/>
    <w:rsid w:val="003D334D"/>
    <w:rsid w:val="003D3426"/>
    <w:rsid w:val="003D3EE3"/>
    <w:rsid w:val="003D4543"/>
    <w:rsid w:val="003D4DBB"/>
    <w:rsid w:val="003D4E53"/>
    <w:rsid w:val="003D505D"/>
    <w:rsid w:val="003D5A82"/>
    <w:rsid w:val="003D5B28"/>
    <w:rsid w:val="003D5D2E"/>
    <w:rsid w:val="003D685A"/>
    <w:rsid w:val="003D697C"/>
    <w:rsid w:val="003D6CC6"/>
    <w:rsid w:val="003D77B0"/>
    <w:rsid w:val="003D7C11"/>
    <w:rsid w:val="003E1058"/>
    <w:rsid w:val="003E1E5C"/>
    <w:rsid w:val="003E223F"/>
    <w:rsid w:val="003E2B3A"/>
    <w:rsid w:val="003E2D4A"/>
    <w:rsid w:val="003E36E2"/>
    <w:rsid w:val="003E440F"/>
    <w:rsid w:val="003E49B4"/>
    <w:rsid w:val="003E4E74"/>
    <w:rsid w:val="003E522E"/>
    <w:rsid w:val="003E681F"/>
    <w:rsid w:val="003E7185"/>
    <w:rsid w:val="003E7A60"/>
    <w:rsid w:val="003E7D0F"/>
    <w:rsid w:val="003F1536"/>
    <w:rsid w:val="003F17BD"/>
    <w:rsid w:val="003F1A60"/>
    <w:rsid w:val="003F299E"/>
    <w:rsid w:val="003F2BEB"/>
    <w:rsid w:val="003F3155"/>
    <w:rsid w:val="003F3815"/>
    <w:rsid w:val="003F384A"/>
    <w:rsid w:val="003F490F"/>
    <w:rsid w:val="003F4C52"/>
    <w:rsid w:val="003F53BB"/>
    <w:rsid w:val="003F541D"/>
    <w:rsid w:val="003F548D"/>
    <w:rsid w:val="003F5D30"/>
    <w:rsid w:val="003F5E82"/>
    <w:rsid w:val="003F6067"/>
    <w:rsid w:val="003F6B66"/>
    <w:rsid w:val="003F6BF0"/>
    <w:rsid w:val="003F7BC0"/>
    <w:rsid w:val="003F7C58"/>
    <w:rsid w:val="00400B26"/>
    <w:rsid w:val="0040156E"/>
    <w:rsid w:val="004015F5"/>
    <w:rsid w:val="00402603"/>
    <w:rsid w:val="00403301"/>
    <w:rsid w:val="00403D0F"/>
    <w:rsid w:val="0040428D"/>
    <w:rsid w:val="0040441C"/>
    <w:rsid w:val="00404B31"/>
    <w:rsid w:val="00404C21"/>
    <w:rsid w:val="004050F5"/>
    <w:rsid w:val="00405E5B"/>
    <w:rsid w:val="00405F06"/>
    <w:rsid w:val="004066C3"/>
    <w:rsid w:val="00406DD7"/>
    <w:rsid w:val="00406E40"/>
    <w:rsid w:val="00407100"/>
    <w:rsid w:val="004073C7"/>
    <w:rsid w:val="004074B0"/>
    <w:rsid w:val="00410474"/>
    <w:rsid w:val="00410559"/>
    <w:rsid w:val="004112AC"/>
    <w:rsid w:val="0041161B"/>
    <w:rsid w:val="00411B21"/>
    <w:rsid w:val="00411C19"/>
    <w:rsid w:val="00412F57"/>
    <w:rsid w:val="00413A8F"/>
    <w:rsid w:val="00415780"/>
    <w:rsid w:val="00416068"/>
    <w:rsid w:val="004160EF"/>
    <w:rsid w:val="0041620B"/>
    <w:rsid w:val="00417AEF"/>
    <w:rsid w:val="00417CAE"/>
    <w:rsid w:val="00420781"/>
    <w:rsid w:val="00420E62"/>
    <w:rsid w:val="00421149"/>
    <w:rsid w:val="00421599"/>
    <w:rsid w:val="00421C11"/>
    <w:rsid w:val="00422022"/>
    <w:rsid w:val="00422643"/>
    <w:rsid w:val="00423A76"/>
    <w:rsid w:val="00424949"/>
    <w:rsid w:val="0042519C"/>
    <w:rsid w:val="00425F21"/>
    <w:rsid w:val="0042606C"/>
    <w:rsid w:val="004265AE"/>
    <w:rsid w:val="004275AA"/>
    <w:rsid w:val="004277F8"/>
    <w:rsid w:val="004302D8"/>
    <w:rsid w:val="0043030C"/>
    <w:rsid w:val="004303F2"/>
    <w:rsid w:val="00430669"/>
    <w:rsid w:val="00430AEC"/>
    <w:rsid w:val="00431C22"/>
    <w:rsid w:val="00432337"/>
    <w:rsid w:val="00432350"/>
    <w:rsid w:val="00432958"/>
    <w:rsid w:val="00432C98"/>
    <w:rsid w:val="00432EF0"/>
    <w:rsid w:val="0043325D"/>
    <w:rsid w:val="00433579"/>
    <w:rsid w:val="00433F97"/>
    <w:rsid w:val="00433F9E"/>
    <w:rsid w:val="00434B0E"/>
    <w:rsid w:val="00434CD0"/>
    <w:rsid w:val="00434DC8"/>
    <w:rsid w:val="00435818"/>
    <w:rsid w:val="00435880"/>
    <w:rsid w:val="0043590D"/>
    <w:rsid w:val="00435B41"/>
    <w:rsid w:val="00435CDB"/>
    <w:rsid w:val="00436256"/>
    <w:rsid w:val="00436C37"/>
    <w:rsid w:val="00436CC0"/>
    <w:rsid w:val="00436F11"/>
    <w:rsid w:val="00437CA4"/>
    <w:rsid w:val="0044064A"/>
    <w:rsid w:val="00440785"/>
    <w:rsid w:val="004417C2"/>
    <w:rsid w:val="0044254B"/>
    <w:rsid w:val="00442666"/>
    <w:rsid w:val="0044300E"/>
    <w:rsid w:val="004432A5"/>
    <w:rsid w:val="00444948"/>
    <w:rsid w:val="00445432"/>
    <w:rsid w:val="004456D7"/>
    <w:rsid w:val="00445C05"/>
    <w:rsid w:val="00446569"/>
    <w:rsid w:val="00446676"/>
    <w:rsid w:val="004466C5"/>
    <w:rsid w:val="00446E75"/>
    <w:rsid w:val="00446F3E"/>
    <w:rsid w:val="004478FD"/>
    <w:rsid w:val="0045066C"/>
    <w:rsid w:val="004512B0"/>
    <w:rsid w:val="0045262C"/>
    <w:rsid w:val="00452C95"/>
    <w:rsid w:val="004531AF"/>
    <w:rsid w:val="0045383A"/>
    <w:rsid w:val="00454039"/>
    <w:rsid w:val="00454096"/>
    <w:rsid w:val="00454548"/>
    <w:rsid w:val="004548F9"/>
    <w:rsid w:val="00454BC3"/>
    <w:rsid w:val="004556D2"/>
    <w:rsid w:val="00455E55"/>
    <w:rsid w:val="00456123"/>
    <w:rsid w:val="0045620F"/>
    <w:rsid w:val="00456DD6"/>
    <w:rsid w:val="00457236"/>
    <w:rsid w:val="00457855"/>
    <w:rsid w:val="004579E3"/>
    <w:rsid w:val="00457E8C"/>
    <w:rsid w:val="004620B3"/>
    <w:rsid w:val="0046217C"/>
    <w:rsid w:val="0046248B"/>
    <w:rsid w:val="004625EC"/>
    <w:rsid w:val="00462610"/>
    <w:rsid w:val="00462B12"/>
    <w:rsid w:val="00462C2D"/>
    <w:rsid w:val="00463282"/>
    <w:rsid w:val="0046381A"/>
    <w:rsid w:val="00463AFB"/>
    <w:rsid w:val="00463B29"/>
    <w:rsid w:val="00463E9F"/>
    <w:rsid w:val="004641CC"/>
    <w:rsid w:val="004648DA"/>
    <w:rsid w:val="0046495E"/>
    <w:rsid w:val="00464BC1"/>
    <w:rsid w:val="004653B1"/>
    <w:rsid w:val="004654BA"/>
    <w:rsid w:val="00465E7E"/>
    <w:rsid w:val="00466440"/>
    <w:rsid w:val="00466444"/>
    <w:rsid w:val="00466530"/>
    <w:rsid w:val="00466CB5"/>
    <w:rsid w:val="00467361"/>
    <w:rsid w:val="004675BA"/>
    <w:rsid w:val="004676D6"/>
    <w:rsid w:val="0046779B"/>
    <w:rsid w:val="00467861"/>
    <w:rsid w:val="00467AC9"/>
    <w:rsid w:val="004702F6"/>
    <w:rsid w:val="00470571"/>
    <w:rsid w:val="00470D6B"/>
    <w:rsid w:val="0047248B"/>
    <w:rsid w:val="004725D2"/>
    <w:rsid w:val="004727DF"/>
    <w:rsid w:val="00473647"/>
    <w:rsid w:val="00473A73"/>
    <w:rsid w:val="00473DB1"/>
    <w:rsid w:val="00475738"/>
    <w:rsid w:val="0047616C"/>
    <w:rsid w:val="004764C3"/>
    <w:rsid w:val="00476724"/>
    <w:rsid w:val="00476AF7"/>
    <w:rsid w:val="00476D3F"/>
    <w:rsid w:val="00476FA7"/>
    <w:rsid w:val="004779E2"/>
    <w:rsid w:val="00477A7A"/>
    <w:rsid w:val="00477EC0"/>
    <w:rsid w:val="00477F8B"/>
    <w:rsid w:val="00480325"/>
    <w:rsid w:val="00480CDC"/>
    <w:rsid w:val="00480E76"/>
    <w:rsid w:val="0048101D"/>
    <w:rsid w:val="00481510"/>
    <w:rsid w:val="00481668"/>
    <w:rsid w:val="004819C3"/>
    <w:rsid w:val="004824EE"/>
    <w:rsid w:val="00482A36"/>
    <w:rsid w:val="00482F18"/>
    <w:rsid w:val="0048318B"/>
    <w:rsid w:val="00484454"/>
    <w:rsid w:val="004849D3"/>
    <w:rsid w:val="00484B4B"/>
    <w:rsid w:val="004857F2"/>
    <w:rsid w:val="00486147"/>
    <w:rsid w:val="0048762B"/>
    <w:rsid w:val="00487F1A"/>
    <w:rsid w:val="00490137"/>
    <w:rsid w:val="004909D6"/>
    <w:rsid w:val="00490F98"/>
    <w:rsid w:val="004920EA"/>
    <w:rsid w:val="00492529"/>
    <w:rsid w:val="004927D5"/>
    <w:rsid w:val="004928F3"/>
    <w:rsid w:val="00492944"/>
    <w:rsid w:val="00493106"/>
    <w:rsid w:val="004931DE"/>
    <w:rsid w:val="00494381"/>
    <w:rsid w:val="00494503"/>
    <w:rsid w:val="00494998"/>
    <w:rsid w:val="00494E85"/>
    <w:rsid w:val="00494F7B"/>
    <w:rsid w:val="00496510"/>
    <w:rsid w:val="0049680E"/>
    <w:rsid w:val="00496F12"/>
    <w:rsid w:val="00497041"/>
    <w:rsid w:val="00497442"/>
    <w:rsid w:val="00497565"/>
    <w:rsid w:val="0049787E"/>
    <w:rsid w:val="004A0DE3"/>
    <w:rsid w:val="004A1190"/>
    <w:rsid w:val="004A169F"/>
    <w:rsid w:val="004A219C"/>
    <w:rsid w:val="004A2BC7"/>
    <w:rsid w:val="004A2D92"/>
    <w:rsid w:val="004A42B9"/>
    <w:rsid w:val="004A4362"/>
    <w:rsid w:val="004A5162"/>
    <w:rsid w:val="004A5464"/>
    <w:rsid w:val="004A5CE6"/>
    <w:rsid w:val="004A6AB9"/>
    <w:rsid w:val="004A6CE1"/>
    <w:rsid w:val="004A6DB7"/>
    <w:rsid w:val="004A763A"/>
    <w:rsid w:val="004A7837"/>
    <w:rsid w:val="004A7B49"/>
    <w:rsid w:val="004A7E5F"/>
    <w:rsid w:val="004B00BF"/>
    <w:rsid w:val="004B0AAA"/>
    <w:rsid w:val="004B0EC6"/>
    <w:rsid w:val="004B128F"/>
    <w:rsid w:val="004B1749"/>
    <w:rsid w:val="004B184D"/>
    <w:rsid w:val="004B1DE0"/>
    <w:rsid w:val="004B2DD0"/>
    <w:rsid w:val="004B357B"/>
    <w:rsid w:val="004B3619"/>
    <w:rsid w:val="004B3B11"/>
    <w:rsid w:val="004B4E9B"/>
    <w:rsid w:val="004B561E"/>
    <w:rsid w:val="004B583B"/>
    <w:rsid w:val="004B5ECB"/>
    <w:rsid w:val="004B61FF"/>
    <w:rsid w:val="004B6840"/>
    <w:rsid w:val="004B691C"/>
    <w:rsid w:val="004B695C"/>
    <w:rsid w:val="004B6997"/>
    <w:rsid w:val="004B6D80"/>
    <w:rsid w:val="004B7B14"/>
    <w:rsid w:val="004B7C92"/>
    <w:rsid w:val="004B7EEF"/>
    <w:rsid w:val="004C005C"/>
    <w:rsid w:val="004C033C"/>
    <w:rsid w:val="004C0446"/>
    <w:rsid w:val="004C0727"/>
    <w:rsid w:val="004C0F67"/>
    <w:rsid w:val="004C10D6"/>
    <w:rsid w:val="004C14BD"/>
    <w:rsid w:val="004C26BB"/>
    <w:rsid w:val="004C445B"/>
    <w:rsid w:val="004C504E"/>
    <w:rsid w:val="004C52F2"/>
    <w:rsid w:val="004C55CA"/>
    <w:rsid w:val="004C5A67"/>
    <w:rsid w:val="004C6622"/>
    <w:rsid w:val="004C71CF"/>
    <w:rsid w:val="004C7301"/>
    <w:rsid w:val="004C7488"/>
    <w:rsid w:val="004C7583"/>
    <w:rsid w:val="004C7927"/>
    <w:rsid w:val="004C7B39"/>
    <w:rsid w:val="004C7D9F"/>
    <w:rsid w:val="004C7DCA"/>
    <w:rsid w:val="004D0675"/>
    <w:rsid w:val="004D0BCA"/>
    <w:rsid w:val="004D0E67"/>
    <w:rsid w:val="004D146B"/>
    <w:rsid w:val="004D185C"/>
    <w:rsid w:val="004D3623"/>
    <w:rsid w:val="004D37DE"/>
    <w:rsid w:val="004D3C56"/>
    <w:rsid w:val="004D45D6"/>
    <w:rsid w:val="004D4FEE"/>
    <w:rsid w:val="004D59FA"/>
    <w:rsid w:val="004D5E4F"/>
    <w:rsid w:val="004D6023"/>
    <w:rsid w:val="004D60BA"/>
    <w:rsid w:val="004D68E3"/>
    <w:rsid w:val="004D6913"/>
    <w:rsid w:val="004D7769"/>
    <w:rsid w:val="004D7A43"/>
    <w:rsid w:val="004D7E27"/>
    <w:rsid w:val="004E1BF6"/>
    <w:rsid w:val="004E2689"/>
    <w:rsid w:val="004E2E1D"/>
    <w:rsid w:val="004E3A6A"/>
    <w:rsid w:val="004E4D97"/>
    <w:rsid w:val="004E50F5"/>
    <w:rsid w:val="004E57E5"/>
    <w:rsid w:val="004E58E4"/>
    <w:rsid w:val="004E6040"/>
    <w:rsid w:val="004F00DB"/>
    <w:rsid w:val="004F0882"/>
    <w:rsid w:val="004F0E61"/>
    <w:rsid w:val="004F0FFA"/>
    <w:rsid w:val="004F1520"/>
    <w:rsid w:val="004F2255"/>
    <w:rsid w:val="004F3479"/>
    <w:rsid w:val="004F381E"/>
    <w:rsid w:val="004F47E0"/>
    <w:rsid w:val="004F4B02"/>
    <w:rsid w:val="004F526C"/>
    <w:rsid w:val="004F5BF5"/>
    <w:rsid w:val="004F6CA4"/>
    <w:rsid w:val="0050010E"/>
    <w:rsid w:val="005005DD"/>
    <w:rsid w:val="00500D6B"/>
    <w:rsid w:val="00501528"/>
    <w:rsid w:val="005019EB"/>
    <w:rsid w:val="00501CF8"/>
    <w:rsid w:val="00502025"/>
    <w:rsid w:val="00502116"/>
    <w:rsid w:val="005027D7"/>
    <w:rsid w:val="00502C42"/>
    <w:rsid w:val="00502E39"/>
    <w:rsid w:val="0050318B"/>
    <w:rsid w:val="0050326C"/>
    <w:rsid w:val="005032D1"/>
    <w:rsid w:val="005038D5"/>
    <w:rsid w:val="00503AC6"/>
    <w:rsid w:val="005044F3"/>
    <w:rsid w:val="0050473A"/>
    <w:rsid w:val="00504D91"/>
    <w:rsid w:val="00504DEB"/>
    <w:rsid w:val="00504F96"/>
    <w:rsid w:val="00506246"/>
    <w:rsid w:val="00506C7E"/>
    <w:rsid w:val="00506E5D"/>
    <w:rsid w:val="00507BCA"/>
    <w:rsid w:val="00507D10"/>
    <w:rsid w:val="0051067D"/>
    <w:rsid w:val="0051084F"/>
    <w:rsid w:val="005108E2"/>
    <w:rsid w:val="00510D38"/>
    <w:rsid w:val="00510EAE"/>
    <w:rsid w:val="005119DA"/>
    <w:rsid w:val="00511B82"/>
    <w:rsid w:val="005121A1"/>
    <w:rsid w:val="005124D1"/>
    <w:rsid w:val="0051321F"/>
    <w:rsid w:val="005132EB"/>
    <w:rsid w:val="00513C03"/>
    <w:rsid w:val="005144EB"/>
    <w:rsid w:val="00514B91"/>
    <w:rsid w:val="00515090"/>
    <w:rsid w:val="00517C27"/>
    <w:rsid w:val="00520303"/>
    <w:rsid w:val="00520662"/>
    <w:rsid w:val="005207DE"/>
    <w:rsid w:val="005209ED"/>
    <w:rsid w:val="00520A21"/>
    <w:rsid w:val="00521DC0"/>
    <w:rsid w:val="00522BEC"/>
    <w:rsid w:val="00522F54"/>
    <w:rsid w:val="00523556"/>
    <w:rsid w:val="005236F9"/>
    <w:rsid w:val="00523D13"/>
    <w:rsid w:val="00524D7D"/>
    <w:rsid w:val="005255AE"/>
    <w:rsid w:val="00526846"/>
    <w:rsid w:val="00526AA4"/>
    <w:rsid w:val="00526D60"/>
    <w:rsid w:val="00527770"/>
    <w:rsid w:val="00527947"/>
    <w:rsid w:val="00532274"/>
    <w:rsid w:val="005329B6"/>
    <w:rsid w:val="00532D73"/>
    <w:rsid w:val="0053345A"/>
    <w:rsid w:val="00534253"/>
    <w:rsid w:val="00534D54"/>
    <w:rsid w:val="00535BE6"/>
    <w:rsid w:val="005366E8"/>
    <w:rsid w:val="005366FE"/>
    <w:rsid w:val="005372D6"/>
    <w:rsid w:val="00537606"/>
    <w:rsid w:val="00540697"/>
    <w:rsid w:val="00540B4C"/>
    <w:rsid w:val="005412B8"/>
    <w:rsid w:val="005412EA"/>
    <w:rsid w:val="00541FE9"/>
    <w:rsid w:val="00542BF4"/>
    <w:rsid w:val="00542CAB"/>
    <w:rsid w:val="00542FA7"/>
    <w:rsid w:val="00543821"/>
    <w:rsid w:val="005442D4"/>
    <w:rsid w:val="005455F2"/>
    <w:rsid w:val="0054580D"/>
    <w:rsid w:val="005462FD"/>
    <w:rsid w:val="005467F0"/>
    <w:rsid w:val="0055045D"/>
    <w:rsid w:val="0055096D"/>
    <w:rsid w:val="00550FB8"/>
    <w:rsid w:val="00551120"/>
    <w:rsid w:val="00551B4E"/>
    <w:rsid w:val="0055254F"/>
    <w:rsid w:val="00553B08"/>
    <w:rsid w:val="00554D11"/>
    <w:rsid w:val="005551EF"/>
    <w:rsid w:val="005564AE"/>
    <w:rsid w:val="00556B94"/>
    <w:rsid w:val="00556F5C"/>
    <w:rsid w:val="0055710B"/>
    <w:rsid w:val="005578DC"/>
    <w:rsid w:val="0056053B"/>
    <w:rsid w:val="005605D4"/>
    <w:rsid w:val="005608E2"/>
    <w:rsid w:val="00560DC1"/>
    <w:rsid w:val="005613F5"/>
    <w:rsid w:val="005627CC"/>
    <w:rsid w:val="00562888"/>
    <w:rsid w:val="00562A25"/>
    <w:rsid w:val="00562A89"/>
    <w:rsid w:val="00562ADB"/>
    <w:rsid w:val="005636F3"/>
    <w:rsid w:val="0056448B"/>
    <w:rsid w:val="0056487D"/>
    <w:rsid w:val="00564C75"/>
    <w:rsid w:val="00564D0D"/>
    <w:rsid w:val="0056572B"/>
    <w:rsid w:val="00565EB5"/>
    <w:rsid w:val="0056607A"/>
    <w:rsid w:val="005663B5"/>
    <w:rsid w:val="00566F98"/>
    <w:rsid w:val="005670C2"/>
    <w:rsid w:val="0056775B"/>
    <w:rsid w:val="00567CFB"/>
    <w:rsid w:val="00570396"/>
    <w:rsid w:val="005703CC"/>
    <w:rsid w:val="005706E3"/>
    <w:rsid w:val="0057168C"/>
    <w:rsid w:val="00571C88"/>
    <w:rsid w:val="00571D70"/>
    <w:rsid w:val="0057204B"/>
    <w:rsid w:val="005730E7"/>
    <w:rsid w:val="005731DC"/>
    <w:rsid w:val="005738BD"/>
    <w:rsid w:val="0057419D"/>
    <w:rsid w:val="00574964"/>
    <w:rsid w:val="005749B9"/>
    <w:rsid w:val="00574EC4"/>
    <w:rsid w:val="005762B5"/>
    <w:rsid w:val="00576ACE"/>
    <w:rsid w:val="00576D49"/>
    <w:rsid w:val="0057795B"/>
    <w:rsid w:val="0057796F"/>
    <w:rsid w:val="00577999"/>
    <w:rsid w:val="00581C0E"/>
    <w:rsid w:val="00581C3A"/>
    <w:rsid w:val="00581D2E"/>
    <w:rsid w:val="00582204"/>
    <w:rsid w:val="005825F5"/>
    <w:rsid w:val="00583518"/>
    <w:rsid w:val="00583539"/>
    <w:rsid w:val="0058367A"/>
    <w:rsid w:val="0058412B"/>
    <w:rsid w:val="00584E67"/>
    <w:rsid w:val="0058521F"/>
    <w:rsid w:val="00585840"/>
    <w:rsid w:val="00585979"/>
    <w:rsid w:val="00585FFA"/>
    <w:rsid w:val="00586099"/>
    <w:rsid w:val="00586116"/>
    <w:rsid w:val="0058643A"/>
    <w:rsid w:val="005865F1"/>
    <w:rsid w:val="00587796"/>
    <w:rsid w:val="00587C6B"/>
    <w:rsid w:val="0059023A"/>
    <w:rsid w:val="00590924"/>
    <w:rsid w:val="00590D05"/>
    <w:rsid w:val="00590EF2"/>
    <w:rsid w:val="005910BF"/>
    <w:rsid w:val="00591814"/>
    <w:rsid w:val="00591ACF"/>
    <w:rsid w:val="00591B68"/>
    <w:rsid w:val="00591FC2"/>
    <w:rsid w:val="00592974"/>
    <w:rsid w:val="00592D65"/>
    <w:rsid w:val="00592DF6"/>
    <w:rsid w:val="0059350D"/>
    <w:rsid w:val="005947F0"/>
    <w:rsid w:val="00594E28"/>
    <w:rsid w:val="005952F8"/>
    <w:rsid w:val="0059556A"/>
    <w:rsid w:val="00596F5C"/>
    <w:rsid w:val="005A052C"/>
    <w:rsid w:val="005A0F35"/>
    <w:rsid w:val="005A1427"/>
    <w:rsid w:val="005A1646"/>
    <w:rsid w:val="005A2F7D"/>
    <w:rsid w:val="005A35EA"/>
    <w:rsid w:val="005A3B7D"/>
    <w:rsid w:val="005A4502"/>
    <w:rsid w:val="005A4E93"/>
    <w:rsid w:val="005A4EA4"/>
    <w:rsid w:val="005A5E06"/>
    <w:rsid w:val="005A6538"/>
    <w:rsid w:val="005A7880"/>
    <w:rsid w:val="005B02B0"/>
    <w:rsid w:val="005B040B"/>
    <w:rsid w:val="005B086B"/>
    <w:rsid w:val="005B1B27"/>
    <w:rsid w:val="005B258F"/>
    <w:rsid w:val="005B290A"/>
    <w:rsid w:val="005B299A"/>
    <w:rsid w:val="005B35C8"/>
    <w:rsid w:val="005B38ED"/>
    <w:rsid w:val="005B5128"/>
    <w:rsid w:val="005B5E76"/>
    <w:rsid w:val="005B6198"/>
    <w:rsid w:val="005B6909"/>
    <w:rsid w:val="005B70E2"/>
    <w:rsid w:val="005B7797"/>
    <w:rsid w:val="005C09B5"/>
    <w:rsid w:val="005C323F"/>
    <w:rsid w:val="005C3635"/>
    <w:rsid w:val="005C39B5"/>
    <w:rsid w:val="005C3D9D"/>
    <w:rsid w:val="005C495D"/>
    <w:rsid w:val="005C5547"/>
    <w:rsid w:val="005C5D46"/>
    <w:rsid w:val="005C60B7"/>
    <w:rsid w:val="005C63D4"/>
    <w:rsid w:val="005C669C"/>
    <w:rsid w:val="005C6D7A"/>
    <w:rsid w:val="005C7D19"/>
    <w:rsid w:val="005D0097"/>
    <w:rsid w:val="005D0923"/>
    <w:rsid w:val="005D0AEB"/>
    <w:rsid w:val="005D112C"/>
    <w:rsid w:val="005D1794"/>
    <w:rsid w:val="005D2829"/>
    <w:rsid w:val="005D327B"/>
    <w:rsid w:val="005D3529"/>
    <w:rsid w:val="005D3692"/>
    <w:rsid w:val="005D376E"/>
    <w:rsid w:val="005D3822"/>
    <w:rsid w:val="005D3E9F"/>
    <w:rsid w:val="005D4173"/>
    <w:rsid w:val="005D4545"/>
    <w:rsid w:val="005D4C0C"/>
    <w:rsid w:val="005D4DAA"/>
    <w:rsid w:val="005D50FB"/>
    <w:rsid w:val="005D5770"/>
    <w:rsid w:val="005D7809"/>
    <w:rsid w:val="005D79CC"/>
    <w:rsid w:val="005D7AF8"/>
    <w:rsid w:val="005E04B4"/>
    <w:rsid w:val="005E0F9E"/>
    <w:rsid w:val="005E1759"/>
    <w:rsid w:val="005E1A04"/>
    <w:rsid w:val="005E1BA2"/>
    <w:rsid w:val="005E2A91"/>
    <w:rsid w:val="005E2B4F"/>
    <w:rsid w:val="005E2FFA"/>
    <w:rsid w:val="005E35B5"/>
    <w:rsid w:val="005E3791"/>
    <w:rsid w:val="005E3941"/>
    <w:rsid w:val="005E41E7"/>
    <w:rsid w:val="005E5879"/>
    <w:rsid w:val="005F01A0"/>
    <w:rsid w:val="005F0368"/>
    <w:rsid w:val="005F1900"/>
    <w:rsid w:val="005F282D"/>
    <w:rsid w:val="005F3FEA"/>
    <w:rsid w:val="005F4530"/>
    <w:rsid w:val="005F4A0F"/>
    <w:rsid w:val="005F5960"/>
    <w:rsid w:val="005F6200"/>
    <w:rsid w:val="005F6E7C"/>
    <w:rsid w:val="005F7396"/>
    <w:rsid w:val="005F7417"/>
    <w:rsid w:val="005F7E1E"/>
    <w:rsid w:val="00601315"/>
    <w:rsid w:val="00601434"/>
    <w:rsid w:val="00601480"/>
    <w:rsid w:val="006018FE"/>
    <w:rsid w:val="006028FB"/>
    <w:rsid w:val="00603DCF"/>
    <w:rsid w:val="00604D0C"/>
    <w:rsid w:val="00605431"/>
    <w:rsid w:val="0060589B"/>
    <w:rsid w:val="00605CA8"/>
    <w:rsid w:val="006067A6"/>
    <w:rsid w:val="00606902"/>
    <w:rsid w:val="006071FF"/>
    <w:rsid w:val="006101CE"/>
    <w:rsid w:val="00610E89"/>
    <w:rsid w:val="00611A4E"/>
    <w:rsid w:val="00611A84"/>
    <w:rsid w:val="00611E2D"/>
    <w:rsid w:val="00612222"/>
    <w:rsid w:val="00612AE4"/>
    <w:rsid w:val="00613564"/>
    <w:rsid w:val="006143FD"/>
    <w:rsid w:val="0061454C"/>
    <w:rsid w:val="006147E9"/>
    <w:rsid w:val="006148F0"/>
    <w:rsid w:val="00614905"/>
    <w:rsid w:val="00614BA4"/>
    <w:rsid w:val="00615201"/>
    <w:rsid w:val="006152CB"/>
    <w:rsid w:val="006154B3"/>
    <w:rsid w:val="00616AF6"/>
    <w:rsid w:val="00620325"/>
    <w:rsid w:val="00622351"/>
    <w:rsid w:val="006229A6"/>
    <w:rsid w:val="0062310C"/>
    <w:rsid w:val="00624115"/>
    <w:rsid w:val="006247D0"/>
    <w:rsid w:val="00624C32"/>
    <w:rsid w:val="00625134"/>
    <w:rsid w:val="00625F51"/>
    <w:rsid w:val="006266A3"/>
    <w:rsid w:val="00626A3F"/>
    <w:rsid w:val="00626ABA"/>
    <w:rsid w:val="00626CB3"/>
    <w:rsid w:val="006277D0"/>
    <w:rsid w:val="00630561"/>
    <w:rsid w:val="0063091B"/>
    <w:rsid w:val="00631258"/>
    <w:rsid w:val="00631B96"/>
    <w:rsid w:val="00631D96"/>
    <w:rsid w:val="0063290D"/>
    <w:rsid w:val="00632D53"/>
    <w:rsid w:val="006335BA"/>
    <w:rsid w:val="00633B50"/>
    <w:rsid w:val="00633D61"/>
    <w:rsid w:val="00633DC2"/>
    <w:rsid w:val="00634D3D"/>
    <w:rsid w:val="00635A2C"/>
    <w:rsid w:val="00635DA7"/>
    <w:rsid w:val="006362F3"/>
    <w:rsid w:val="00637A73"/>
    <w:rsid w:val="00640257"/>
    <w:rsid w:val="006403D9"/>
    <w:rsid w:val="00640439"/>
    <w:rsid w:val="00640751"/>
    <w:rsid w:val="006407B9"/>
    <w:rsid w:val="00640D7F"/>
    <w:rsid w:val="00640D86"/>
    <w:rsid w:val="00641186"/>
    <w:rsid w:val="00641AB7"/>
    <w:rsid w:val="00642E69"/>
    <w:rsid w:val="0064346F"/>
    <w:rsid w:val="006435C9"/>
    <w:rsid w:val="00643C5F"/>
    <w:rsid w:val="0064406E"/>
    <w:rsid w:val="006442F6"/>
    <w:rsid w:val="00644C3F"/>
    <w:rsid w:val="00644D3C"/>
    <w:rsid w:val="00645F6A"/>
    <w:rsid w:val="00646B7F"/>
    <w:rsid w:val="00647028"/>
    <w:rsid w:val="006473C1"/>
    <w:rsid w:val="006474E1"/>
    <w:rsid w:val="006477EF"/>
    <w:rsid w:val="00647961"/>
    <w:rsid w:val="00647A5D"/>
    <w:rsid w:val="00647A9F"/>
    <w:rsid w:val="00650421"/>
    <w:rsid w:val="006505B2"/>
    <w:rsid w:val="00650C40"/>
    <w:rsid w:val="006512BC"/>
    <w:rsid w:val="0065152A"/>
    <w:rsid w:val="00651678"/>
    <w:rsid w:val="00651808"/>
    <w:rsid w:val="0065203E"/>
    <w:rsid w:val="006521F4"/>
    <w:rsid w:val="006529FB"/>
    <w:rsid w:val="00652B91"/>
    <w:rsid w:val="00652DD2"/>
    <w:rsid w:val="00652FBE"/>
    <w:rsid w:val="00653ABA"/>
    <w:rsid w:val="006542FA"/>
    <w:rsid w:val="00654521"/>
    <w:rsid w:val="00654A1B"/>
    <w:rsid w:val="006552B8"/>
    <w:rsid w:val="00655555"/>
    <w:rsid w:val="006561DB"/>
    <w:rsid w:val="00656234"/>
    <w:rsid w:val="00656B1A"/>
    <w:rsid w:val="00656FB2"/>
    <w:rsid w:val="00657A9B"/>
    <w:rsid w:val="00657BB1"/>
    <w:rsid w:val="00657C0E"/>
    <w:rsid w:val="00660106"/>
    <w:rsid w:val="00660229"/>
    <w:rsid w:val="00660791"/>
    <w:rsid w:val="00660D26"/>
    <w:rsid w:val="00660F12"/>
    <w:rsid w:val="00661CD1"/>
    <w:rsid w:val="00663B4E"/>
    <w:rsid w:val="0066460F"/>
    <w:rsid w:val="0066513D"/>
    <w:rsid w:val="006657A5"/>
    <w:rsid w:val="006658DC"/>
    <w:rsid w:val="0066714F"/>
    <w:rsid w:val="0066788F"/>
    <w:rsid w:val="00667AC6"/>
    <w:rsid w:val="00667E08"/>
    <w:rsid w:val="006707FC"/>
    <w:rsid w:val="006710C1"/>
    <w:rsid w:val="00671B48"/>
    <w:rsid w:val="00671EE7"/>
    <w:rsid w:val="006725F5"/>
    <w:rsid w:val="00672746"/>
    <w:rsid w:val="006728EE"/>
    <w:rsid w:val="00673437"/>
    <w:rsid w:val="00673AAE"/>
    <w:rsid w:val="00673B21"/>
    <w:rsid w:val="00675850"/>
    <w:rsid w:val="00675DD9"/>
    <w:rsid w:val="0067614D"/>
    <w:rsid w:val="0067662B"/>
    <w:rsid w:val="0067696D"/>
    <w:rsid w:val="00676AC2"/>
    <w:rsid w:val="00676E94"/>
    <w:rsid w:val="0067741A"/>
    <w:rsid w:val="00677B4F"/>
    <w:rsid w:val="00681A17"/>
    <w:rsid w:val="00682832"/>
    <w:rsid w:val="00682B22"/>
    <w:rsid w:val="00682E35"/>
    <w:rsid w:val="00682F0F"/>
    <w:rsid w:val="00683A61"/>
    <w:rsid w:val="006847B4"/>
    <w:rsid w:val="00685318"/>
    <w:rsid w:val="0068584A"/>
    <w:rsid w:val="00686685"/>
    <w:rsid w:val="00686D5B"/>
    <w:rsid w:val="0068746D"/>
    <w:rsid w:val="00690ED8"/>
    <w:rsid w:val="00692276"/>
    <w:rsid w:val="006923C3"/>
    <w:rsid w:val="006925FD"/>
    <w:rsid w:val="00692C4A"/>
    <w:rsid w:val="00693037"/>
    <w:rsid w:val="00693235"/>
    <w:rsid w:val="006932AF"/>
    <w:rsid w:val="00693C54"/>
    <w:rsid w:val="00693FCC"/>
    <w:rsid w:val="006944F1"/>
    <w:rsid w:val="00694A51"/>
    <w:rsid w:val="00694E60"/>
    <w:rsid w:val="00695A72"/>
    <w:rsid w:val="006966F3"/>
    <w:rsid w:val="00697296"/>
    <w:rsid w:val="00697840"/>
    <w:rsid w:val="006A049C"/>
    <w:rsid w:val="006A0CE2"/>
    <w:rsid w:val="006A30F0"/>
    <w:rsid w:val="006A3BA3"/>
    <w:rsid w:val="006A456E"/>
    <w:rsid w:val="006A4DB6"/>
    <w:rsid w:val="006A5E42"/>
    <w:rsid w:val="006A6053"/>
    <w:rsid w:val="006A6590"/>
    <w:rsid w:val="006A692E"/>
    <w:rsid w:val="006A7253"/>
    <w:rsid w:val="006A7EC3"/>
    <w:rsid w:val="006B11D1"/>
    <w:rsid w:val="006B12C3"/>
    <w:rsid w:val="006B1947"/>
    <w:rsid w:val="006B2044"/>
    <w:rsid w:val="006B20CE"/>
    <w:rsid w:val="006B2B86"/>
    <w:rsid w:val="006B4568"/>
    <w:rsid w:val="006B553C"/>
    <w:rsid w:val="006B69E1"/>
    <w:rsid w:val="006C0449"/>
    <w:rsid w:val="006C0B83"/>
    <w:rsid w:val="006C13F0"/>
    <w:rsid w:val="006C1532"/>
    <w:rsid w:val="006C201D"/>
    <w:rsid w:val="006C216F"/>
    <w:rsid w:val="006C2199"/>
    <w:rsid w:val="006C28AE"/>
    <w:rsid w:val="006C2A77"/>
    <w:rsid w:val="006C31C6"/>
    <w:rsid w:val="006C368B"/>
    <w:rsid w:val="006C3F1F"/>
    <w:rsid w:val="006C43FA"/>
    <w:rsid w:val="006C45F0"/>
    <w:rsid w:val="006C4B6A"/>
    <w:rsid w:val="006C51E4"/>
    <w:rsid w:val="006C5318"/>
    <w:rsid w:val="006C56FD"/>
    <w:rsid w:val="006C5C8A"/>
    <w:rsid w:val="006C5E66"/>
    <w:rsid w:val="006C6284"/>
    <w:rsid w:val="006C70FD"/>
    <w:rsid w:val="006C7490"/>
    <w:rsid w:val="006C7EF1"/>
    <w:rsid w:val="006C7FA9"/>
    <w:rsid w:val="006D03D8"/>
    <w:rsid w:val="006D0D96"/>
    <w:rsid w:val="006D2336"/>
    <w:rsid w:val="006D2935"/>
    <w:rsid w:val="006D3048"/>
    <w:rsid w:val="006D33BD"/>
    <w:rsid w:val="006D340D"/>
    <w:rsid w:val="006D3825"/>
    <w:rsid w:val="006D414A"/>
    <w:rsid w:val="006D4902"/>
    <w:rsid w:val="006D4C06"/>
    <w:rsid w:val="006D547E"/>
    <w:rsid w:val="006D5A06"/>
    <w:rsid w:val="006D6116"/>
    <w:rsid w:val="006D6862"/>
    <w:rsid w:val="006D6989"/>
    <w:rsid w:val="006D722A"/>
    <w:rsid w:val="006D74F9"/>
    <w:rsid w:val="006E0109"/>
    <w:rsid w:val="006E02E9"/>
    <w:rsid w:val="006E038A"/>
    <w:rsid w:val="006E07CF"/>
    <w:rsid w:val="006E0B7F"/>
    <w:rsid w:val="006E0FC6"/>
    <w:rsid w:val="006E2152"/>
    <w:rsid w:val="006E2594"/>
    <w:rsid w:val="006E2600"/>
    <w:rsid w:val="006E3895"/>
    <w:rsid w:val="006E3BF5"/>
    <w:rsid w:val="006E3E26"/>
    <w:rsid w:val="006E3E70"/>
    <w:rsid w:val="006E4B90"/>
    <w:rsid w:val="006E4FF6"/>
    <w:rsid w:val="006E52C1"/>
    <w:rsid w:val="006E5D03"/>
    <w:rsid w:val="006E5E1F"/>
    <w:rsid w:val="006E667D"/>
    <w:rsid w:val="006E7D9B"/>
    <w:rsid w:val="006F17BE"/>
    <w:rsid w:val="006F194E"/>
    <w:rsid w:val="006F1A62"/>
    <w:rsid w:val="006F1DDF"/>
    <w:rsid w:val="006F22F8"/>
    <w:rsid w:val="006F2885"/>
    <w:rsid w:val="006F376C"/>
    <w:rsid w:val="006F4763"/>
    <w:rsid w:val="006F5992"/>
    <w:rsid w:val="006F6CD9"/>
    <w:rsid w:val="006F6D15"/>
    <w:rsid w:val="006F6F62"/>
    <w:rsid w:val="006F75AB"/>
    <w:rsid w:val="006F77B2"/>
    <w:rsid w:val="006F7DBD"/>
    <w:rsid w:val="00700034"/>
    <w:rsid w:val="007003A1"/>
    <w:rsid w:val="00700B65"/>
    <w:rsid w:val="00701133"/>
    <w:rsid w:val="00702072"/>
    <w:rsid w:val="00703FDA"/>
    <w:rsid w:val="00704024"/>
    <w:rsid w:val="00704781"/>
    <w:rsid w:val="0070498B"/>
    <w:rsid w:val="00705512"/>
    <w:rsid w:val="00705746"/>
    <w:rsid w:val="00705C78"/>
    <w:rsid w:val="00707293"/>
    <w:rsid w:val="00710A71"/>
    <w:rsid w:val="0071102E"/>
    <w:rsid w:val="0071163C"/>
    <w:rsid w:val="00712750"/>
    <w:rsid w:val="007138AF"/>
    <w:rsid w:val="00713A47"/>
    <w:rsid w:val="00713FB3"/>
    <w:rsid w:val="00714936"/>
    <w:rsid w:val="00714A93"/>
    <w:rsid w:val="00715142"/>
    <w:rsid w:val="0071601A"/>
    <w:rsid w:val="00716A44"/>
    <w:rsid w:val="0071777B"/>
    <w:rsid w:val="007211A7"/>
    <w:rsid w:val="0072143D"/>
    <w:rsid w:val="00721EDB"/>
    <w:rsid w:val="00722623"/>
    <w:rsid w:val="00722956"/>
    <w:rsid w:val="007229B6"/>
    <w:rsid w:val="00722B00"/>
    <w:rsid w:val="007232B5"/>
    <w:rsid w:val="00723C9C"/>
    <w:rsid w:val="00723DB2"/>
    <w:rsid w:val="007243F4"/>
    <w:rsid w:val="00724860"/>
    <w:rsid w:val="00725BFA"/>
    <w:rsid w:val="00730183"/>
    <w:rsid w:val="007301D7"/>
    <w:rsid w:val="00730E9B"/>
    <w:rsid w:val="0073378B"/>
    <w:rsid w:val="00734989"/>
    <w:rsid w:val="00734C74"/>
    <w:rsid w:val="00734F9D"/>
    <w:rsid w:val="00735E3E"/>
    <w:rsid w:val="00736960"/>
    <w:rsid w:val="00736EC4"/>
    <w:rsid w:val="00737215"/>
    <w:rsid w:val="00737DEF"/>
    <w:rsid w:val="00740353"/>
    <w:rsid w:val="00740398"/>
    <w:rsid w:val="00740958"/>
    <w:rsid w:val="0074097C"/>
    <w:rsid w:val="00740B5B"/>
    <w:rsid w:val="00740F3C"/>
    <w:rsid w:val="00741DFE"/>
    <w:rsid w:val="00743232"/>
    <w:rsid w:val="00743936"/>
    <w:rsid w:val="00744316"/>
    <w:rsid w:val="0074454C"/>
    <w:rsid w:val="0074468B"/>
    <w:rsid w:val="007449B9"/>
    <w:rsid w:val="007459FA"/>
    <w:rsid w:val="00745C93"/>
    <w:rsid w:val="00746548"/>
    <w:rsid w:val="0074696C"/>
    <w:rsid w:val="00747A60"/>
    <w:rsid w:val="00750117"/>
    <w:rsid w:val="00750715"/>
    <w:rsid w:val="00750EBC"/>
    <w:rsid w:val="00751AA8"/>
    <w:rsid w:val="00751BB7"/>
    <w:rsid w:val="00753364"/>
    <w:rsid w:val="00753473"/>
    <w:rsid w:val="00753664"/>
    <w:rsid w:val="00753D5A"/>
    <w:rsid w:val="00754BCE"/>
    <w:rsid w:val="00755CCE"/>
    <w:rsid w:val="00756101"/>
    <w:rsid w:val="00756E12"/>
    <w:rsid w:val="00760B28"/>
    <w:rsid w:val="00760D7A"/>
    <w:rsid w:val="00761007"/>
    <w:rsid w:val="00761183"/>
    <w:rsid w:val="00761524"/>
    <w:rsid w:val="007619EA"/>
    <w:rsid w:val="00761B89"/>
    <w:rsid w:val="00761EFC"/>
    <w:rsid w:val="00761F6F"/>
    <w:rsid w:val="00762175"/>
    <w:rsid w:val="007624FB"/>
    <w:rsid w:val="007627BE"/>
    <w:rsid w:val="007628BF"/>
    <w:rsid w:val="007631A0"/>
    <w:rsid w:val="0076392D"/>
    <w:rsid w:val="007644EB"/>
    <w:rsid w:val="0076456A"/>
    <w:rsid w:val="0076496C"/>
    <w:rsid w:val="0076507F"/>
    <w:rsid w:val="0076519C"/>
    <w:rsid w:val="007654B9"/>
    <w:rsid w:val="00765F91"/>
    <w:rsid w:val="0076619D"/>
    <w:rsid w:val="0076634B"/>
    <w:rsid w:val="0076634D"/>
    <w:rsid w:val="00766D17"/>
    <w:rsid w:val="00766E2F"/>
    <w:rsid w:val="00767270"/>
    <w:rsid w:val="00767806"/>
    <w:rsid w:val="00770A13"/>
    <w:rsid w:val="007713F2"/>
    <w:rsid w:val="00771957"/>
    <w:rsid w:val="00771960"/>
    <w:rsid w:val="00771EAE"/>
    <w:rsid w:val="007721F3"/>
    <w:rsid w:val="007732B8"/>
    <w:rsid w:val="0077364C"/>
    <w:rsid w:val="00773717"/>
    <w:rsid w:val="007738E8"/>
    <w:rsid w:val="0077390E"/>
    <w:rsid w:val="007757E4"/>
    <w:rsid w:val="00775BAC"/>
    <w:rsid w:val="0077715F"/>
    <w:rsid w:val="007803F5"/>
    <w:rsid w:val="00780477"/>
    <w:rsid w:val="00781B39"/>
    <w:rsid w:val="007828F4"/>
    <w:rsid w:val="00783C45"/>
    <w:rsid w:val="00784DA7"/>
    <w:rsid w:val="007851B3"/>
    <w:rsid w:val="007851CA"/>
    <w:rsid w:val="007862C6"/>
    <w:rsid w:val="00787612"/>
    <w:rsid w:val="0078765F"/>
    <w:rsid w:val="00787BFA"/>
    <w:rsid w:val="0079049D"/>
    <w:rsid w:val="0079095D"/>
    <w:rsid w:val="00791822"/>
    <w:rsid w:val="00791BFF"/>
    <w:rsid w:val="007925A2"/>
    <w:rsid w:val="00793433"/>
    <w:rsid w:val="0079385C"/>
    <w:rsid w:val="00794AF3"/>
    <w:rsid w:val="00794CAD"/>
    <w:rsid w:val="00794E6A"/>
    <w:rsid w:val="00795026"/>
    <w:rsid w:val="007950F3"/>
    <w:rsid w:val="00795DA5"/>
    <w:rsid w:val="00796DF0"/>
    <w:rsid w:val="007977CD"/>
    <w:rsid w:val="00797F02"/>
    <w:rsid w:val="007A0032"/>
    <w:rsid w:val="007A0FD6"/>
    <w:rsid w:val="007A117C"/>
    <w:rsid w:val="007A1AB0"/>
    <w:rsid w:val="007A23A8"/>
    <w:rsid w:val="007A29EA"/>
    <w:rsid w:val="007A2A8E"/>
    <w:rsid w:val="007A2EAD"/>
    <w:rsid w:val="007A3106"/>
    <w:rsid w:val="007A3519"/>
    <w:rsid w:val="007A4684"/>
    <w:rsid w:val="007A4F8C"/>
    <w:rsid w:val="007A5197"/>
    <w:rsid w:val="007A51EA"/>
    <w:rsid w:val="007A5651"/>
    <w:rsid w:val="007A673E"/>
    <w:rsid w:val="007A6F14"/>
    <w:rsid w:val="007A7515"/>
    <w:rsid w:val="007A75F0"/>
    <w:rsid w:val="007A7BE0"/>
    <w:rsid w:val="007B0009"/>
    <w:rsid w:val="007B0A9F"/>
    <w:rsid w:val="007B18FB"/>
    <w:rsid w:val="007B1D93"/>
    <w:rsid w:val="007B248A"/>
    <w:rsid w:val="007B282A"/>
    <w:rsid w:val="007B2C40"/>
    <w:rsid w:val="007B327C"/>
    <w:rsid w:val="007B49A8"/>
    <w:rsid w:val="007B4AB5"/>
    <w:rsid w:val="007B4AE1"/>
    <w:rsid w:val="007B5FB4"/>
    <w:rsid w:val="007B70C3"/>
    <w:rsid w:val="007B7622"/>
    <w:rsid w:val="007B7ABB"/>
    <w:rsid w:val="007B7D34"/>
    <w:rsid w:val="007C0575"/>
    <w:rsid w:val="007C05A5"/>
    <w:rsid w:val="007C0872"/>
    <w:rsid w:val="007C2E9E"/>
    <w:rsid w:val="007C40F2"/>
    <w:rsid w:val="007C4358"/>
    <w:rsid w:val="007C44C5"/>
    <w:rsid w:val="007C4931"/>
    <w:rsid w:val="007C4DAB"/>
    <w:rsid w:val="007C5827"/>
    <w:rsid w:val="007C5D5F"/>
    <w:rsid w:val="007C6633"/>
    <w:rsid w:val="007C6BDC"/>
    <w:rsid w:val="007C6D72"/>
    <w:rsid w:val="007C6E05"/>
    <w:rsid w:val="007C6E44"/>
    <w:rsid w:val="007C6FE2"/>
    <w:rsid w:val="007C7398"/>
    <w:rsid w:val="007C7B47"/>
    <w:rsid w:val="007C7F83"/>
    <w:rsid w:val="007D0214"/>
    <w:rsid w:val="007D0514"/>
    <w:rsid w:val="007D0B4F"/>
    <w:rsid w:val="007D1648"/>
    <w:rsid w:val="007D1C20"/>
    <w:rsid w:val="007D30A6"/>
    <w:rsid w:val="007D3242"/>
    <w:rsid w:val="007D35B3"/>
    <w:rsid w:val="007D3703"/>
    <w:rsid w:val="007D39D0"/>
    <w:rsid w:val="007D55B6"/>
    <w:rsid w:val="007D5808"/>
    <w:rsid w:val="007D643F"/>
    <w:rsid w:val="007D661A"/>
    <w:rsid w:val="007D7337"/>
    <w:rsid w:val="007D78FB"/>
    <w:rsid w:val="007D7AD6"/>
    <w:rsid w:val="007E0479"/>
    <w:rsid w:val="007E1642"/>
    <w:rsid w:val="007E281A"/>
    <w:rsid w:val="007E2930"/>
    <w:rsid w:val="007E2B1A"/>
    <w:rsid w:val="007E3079"/>
    <w:rsid w:val="007E3A92"/>
    <w:rsid w:val="007E3B4F"/>
    <w:rsid w:val="007E4A1C"/>
    <w:rsid w:val="007E4DC5"/>
    <w:rsid w:val="007E50A1"/>
    <w:rsid w:val="007E5498"/>
    <w:rsid w:val="007E56F9"/>
    <w:rsid w:val="007E62F4"/>
    <w:rsid w:val="007E6779"/>
    <w:rsid w:val="007E77D1"/>
    <w:rsid w:val="007E7AFC"/>
    <w:rsid w:val="007F0215"/>
    <w:rsid w:val="007F1734"/>
    <w:rsid w:val="007F195C"/>
    <w:rsid w:val="007F233A"/>
    <w:rsid w:val="007F2475"/>
    <w:rsid w:val="007F2C0E"/>
    <w:rsid w:val="007F2F6D"/>
    <w:rsid w:val="007F3230"/>
    <w:rsid w:val="007F3426"/>
    <w:rsid w:val="007F3A7C"/>
    <w:rsid w:val="007F3D20"/>
    <w:rsid w:val="007F42F5"/>
    <w:rsid w:val="007F43D9"/>
    <w:rsid w:val="007F5AE7"/>
    <w:rsid w:val="007F6CC2"/>
    <w:rsid w:val="007F6E54"/>
    <w:rsid w:val="007F79E7"/>
    <w:rsid w:val="00800161"/>
    <w:rsid w:val="00800F19"/>
    <w:rsid w:val="0080163E"/>
    <w:rsid w:val="008020F9"/>
    <w:rsid w:val="00802564"/>
    <w:rsid w:val="008025F4"/>
    <w:rsid w:val="008036DB"/>
    <w:rsid w:val="00803D17"/>
    <w:rsid w:val="00803E17"/>
    <w:rsid w:val="00804453"/>
    <w:rsid w:val="008048F2"/>
    <w:rsid w:val="008064EA"/>
    <w:rsid w:val="0080741D"/>
    <w:rsid w:val="00807512"/>
    <w:rsid w:val="00807B37"/>
    <w:rsid w:val="00811149"/>
    <w:rsid w:val="00811BF4"/>
    <w:rsid w:val="00811D3F"/>
    <w:rsid w:val="00811E8D"/>
    <w:rsid w:val="00812527"/>
    <w:rsid w:val="00812ED2"/>
    <w:rsid w:val="008148EC"/>
    <w:rsid w:val="008157F1"/>
    <w:rsid w:val="00816CB3"/>
    <w:rsid w:val="0081728C"/>
    <w:rsid w:val="008174B4"/>
    <w:rsid w:val="00820D84"/>
    <w:rsid w:val="00821303"/>
    <w:rsid w:val="00821901"/>
    <w:rsid w:val="008220A2"/>
    <w:rsid w:val="00822688"/>
    <w:rsid w:val="008231CC"/>
    <w:rsid w:val="008237F1"/>
    <w:rsid w:val="00823844"/>
    <w:rsid w:val="00823E52"/>
    <w:rsid w:val="00825176"/>
    <w:rsid w:val="008251C7"/>
    <w:rsid w:val="0082566B"/>
    <w:rsid w:val="00825CED"/>
    <w:rsid w:val="00827439"/>
    <w:rsid w:val="0083007C"/>
    <w:rsid w:val="00831900"/>
    <w:rsid w:val="00832A6D"/>
    <w:rsid w:val="00832A84"/>
    <w:rsid w:val="00832B67"/>
    <w:rsid w:val="00832DD9"/>
    <w:rsid w:val="00833E27"/>
    <w:rsid w:val="00833F7B"/>
    <w:rsid w:val="00833F88"/>
    <w:rsid w:val="00834295"/>
    <w:rsid w:val="0083446A"/>
    <w:rsid w:val="008346F3"/>
    <w:rsid w:val="00834C16"/>
    <w:rsid w:val="0083513B"/>
    <w:rsid w:val="00835C8D"/>
    <w:rsid w:val="008363BD"/>
    <w:rsid w:val="008367A6"/>
    <w:rsid w:val="00836A11"/>
    <w:rsid w:val="00836F5A"/>
    <w:rsid w:val="00837D92"/>
    <w:rsid w:val="008408DA"/>
    <w:rsid w:val="00840BF7"/>
    <w:rsid w:val="00840C13"/>
    <w:rsid w:val="0084120D"/>
    <w:rsid w:val="008412B5"/>
    <w:rsid w:val="008413E4"/>
    <w:rsid w:val="0084242F"/>
    <w:rsid w:val="00843092"/>
    <w:rsid w:val="00843111"/>
    <w:rsid w:val="00843969"/>
    <w:rsid w:val="00845513"/>
    <w:rsid w:val="00845E7E"/>
    <w:rsid w:val="00846822"/>
    <w:rsid w:val="00846992"/>
    <w:rsid w:val="00850D9E"/>
    <w:rsid w:val="008514E8"/>
    <w:rsid w:val="00851F92"/>
    <w:rsid w:val="00852927"/>
    <w:rsid w:val="00852E55"/>
    <w:rsid w:val="0085350B"/>
    <w:rsid w:val="00853551"/>
    <w:rsid w:val="00853665"/>
    <w:rsid w:val="00853ED0"/>
    <w:rsid w:val="00854C7B"/>
    <w:rsid w:val="0085504F"/>
    <w:rsid w:val="00855445"/>
    <w:rsid w:val="0085579A"/>
    <w:rsid w:val="00855DB2"/>
    <w:rsid w:val="00855DDF"/>
    <w:rsid w:val="0085687D"/>
    <w:rsid w:val="0085699D"/>
    <w:rsid w:val="00857250"/>
    <w:rsid w:val="00860CA1"/>
    <w:rsid w:val="008620B9"/>
    <w:rsid w:val="00862959"/>
    <w:rsid w:val="00862C0A"/>
    <w:rsid w:val="008636BB"/>
    <w:rsid w:val="00863D3C"/>
    <w:rsid w:val="008642C1"/>
    <w:rsid w:val="008645BD"/>
    <w:rsid w:val="008648E8"/>
    <w:rsid w:val="00864B31"/>
    <w:rsid w:val="00864BF5"/>
    <w:rsid w:val="00864E08"/>
    <w:rsid w:val="0086565E"/>
    <w:rsid w:val="008663E8"/>
    <w:rsid w:val="008674EC"/>
    <w:rsid w:val="008676B9"/>
    <w:rsid w:val="008704D4"/>
    <w:rsid w:val="0087050F"/>
    <w:rsid w:val="00870A87"/>
    <w:rsid w:val="008711C9"/>
    <w:rsid w:val="0087180E"/>
    <w:rsid w:val="0087195C"/>
    <w:rsid w:val="00872C06"/>
    <w:rsid w:val="00872E8A"/>
    <w:rsid w:val="00872ED9"/>
    <w:rsid w:val="00873989"/>
    <w:rsid w:val="00873F6A"/>
    <w:rsid w:val="008742D2"/>
    <w:rsid w:val="00874703"/>
    <w:rsid w:val="008756F4"/>
    <w:rsid w:val="00875FF7"/>
    <w:rsid w:val="00876174"/>
    <w:rsid w:val="008765BC"/>
    <w:rsid w:val="008765FA"/>
    <w:rsid w:val="00876EE6"/>
    <w:rsid w:val="00877201"/>
    <w:rsid w:val="00880A34"/>
    <w:rsid w:val="008811B8"/>
    <w:rsid w:val="00881C15"/>
    <w:rsid w:val="00882C91"/>
    <w:rsid w:val="008831EF"/>
    <w:rsid w:val="00883DFA"/>
    <w:rsid w:val="008845A7"/>
    <w:rsid w:val="00884EAF"/>
    <w:rsid w:val="00885528"/>
    <w:rsid w:val="00885EF4"/>
    <w:rsid w:val="00886405"/>
    <w:rsid w:val="0088695A"/>
    <w:rsid w:val="008869CD"/>
    <w:rsid w:val="00886D0A"/>
    <w:rsid w:val="0088706D"/>
    <w:rsid w:val="00887C1D"/>
    <w:rsid w:val="008901E0"/>
    <w:rsid w:val="00890885"/>
    <w:rsid w:val="00890CDD"/>
    <w:rsid w:val="008914DA"/>
    <w:rsid w:val="00891775"/>
    <w:rsid w:val="0089196C"/>
    <w:rsid w:val="0089299F"/>
    <w:rsid w:val="00892B95"/>
    <w:rsid w:val="008935D1"/>
    <w:rsid w:val="00893B4C"/>
    <w:rsid w:val="00894C8D"/>
    <w:rsid w:val="008951AF"/>
    <w:rsid w:val="008955F1"/>
    <w:rsid w:val="0089583B"/>
    <w:rsid w:val="008961BF"/>
    <w:rsid w:val="00896251"/>
    <w:rsid w:val="00896592"/>
    <w:rsid w:val="00896950"/>
    <w:rsid w:val="00896A2E"/>
    <w:rsid w:val="00897C09"/>
    <w:rsid w:val="00897F82"/>
    <w:rsid w:val="008A0EA5"/>
    <w:rsid w:val="008A176F"/>
    <w:rsid w:val="008A1C4C"/>
    <w:rsid w:val="008A1D40"/>
    <w:rsid w:val="008A1E8A"/>
    <w:rsid w:val="008A24EA"/>
    <w:rsid w:val="008A2CF7"/>
    <w:rsid w:val="008A3D99"/>
    <w:rsid w:val="008A3D9C"/>
    <w:rsid w:val="008A428A"/>
    <w:rsid w:val="008A430E"/>
    <w:rsid w:val="008A4577"/>
    <w:rsid w:val="008A4700"/>
    <w:rsid w:val="008A4BF3"/>
    <w:rsid w:val="008A525C"/>
    <w:rsid w:val="008A5525"/>
    <w:rsid w:val="008A5F7E"/>
    <w:rsid w:val="008A6137"/>
    <w:rsid w:val="008A63C8"/>
    <w:rsid w:val="008A68F3"/>
    <w:rsid w:val="008A7CF0"/>
    <w:rsid w:val="008B0218"/>
    <w:rsid w:val="008B07BB"/>
    <w:rsid w:val="008B1412"/>
    <w:rsid w:val="008B1F6B"/>
    <w:rsid w:val="008B2507"/>
    <w:rsid w:val="008B3211"/>
    <w:rsid w:val="008B348A"/>
    <w:rsid w:val="008B35AB"/>
    <w:rsid w:val="008B35E9"/>
    <w:rsid w:val="008B395B"/>
    <w:rsid w:val="008B4FDD"/>
    <w:rsid w:val="008B5372"/>
    <w:rsid w:val="008B5BFC"/>
    <w:rsid w:val="008B5C23"/>
    <w:rsid w:val="008B600E"/>
    <w:rsid w:val="008B69AD"/>
    <w:rsid w:val="008B79C1"/>
    <w:rsid w:val="008B7D2B"/>
    <w:rsid w:val="008C069B"/>
    <w:rsid w:val="008C0775"/>
    <w:rsid w:val="008C1E83"/>
    <w:rsid w:val="008C2130"/>
    <w:rsid w:val="008C25B6"/>
    <w:rsid w:val="008C2FF6"/>
    <w:rsid w:val="008C5403"/>
    <w:rsid w:val="008C5A2E"/>
    <w:rsid w:val="008C6B14"/>
    <w:rsid w:val="008C7726"/>
    <w:rsid w:val="008C782C"/>
    <w:rsid w:val="008D0632"/>
    <w:rsid w:val="008D0EB8"/>
    <w:rsid w:val="008D1420"/>
    <w:rsid w:val="008D1D6E"/>
    <w:rsid w:val="008D1D9E"/>
    <w:rsid w:val="008D1E41"/>
    <w:rsid w:val="008D2E02"/>
    <w:rsid w:val="008D3121"/>
    <w:rsid w:val="008D327A"/>
    <w:rsid w:val="008D3E0B"/>
    <w:rsid w:val="008D3E9B"/>
    <w:rsid w:val="008D49DB"/>
    <w:rsid w:val="008D4E0E"/>
    <w:rsid w:val="008D4F61"/>
    <w:rsid w:val="008D5616"/>
    <w:rsid w:val="008D57F3"/>
    <w:rsid w:val="008D5BB3"/>
    <w:rsid w:val="008D5E90"/>
    <w:rsid w:val="008D619D"/>
    <w:rsid w:val="008D6406"/>
    <w:rsid w:val="008D6FB7"/>
    <w:rsid w:val="008D7537"/>
    <w:rsid w:val="008D76A4"/>
    <w:rsid w:val="008D775B"/>
    <w:rsid w:val="008D78D5"/>
    <w:rsid w:val="008E01CD"/>
    <w:rsid w:val="008E034E"/>
    <w:rsid w:val="008E04AC"/>
    <w:rsid w:val="008E0B1E"/>
    <w:rsid w:val="008E0EF8"/>
    <w:rsid w:val="008E117F"/>
    <w:rsid w:val="008E11F8"/>
    <w:rsid w:val="008E1989"/>
    <w:rsid w:val="008E19F1"/>
    <w:rsid w:val="008E2A0E"/>
    <w:rsid w:val="008E33D8"/>
    <w:rsid w:val="008E343C"/>
    <w:rsid w:val="008E351B"/>
    <w:rsid w:val="008E440C"/>
    <w:rsid w:val="008E474D"/>
    <w:rsid w:val="008E4978"/>
    <w:rsid w:val="008E4C0B"/>
    <w:rsid w:val="008E4D70"/>
    <w:rsid w:val="008E5F5D"/>
    <w:rsid w:val="008E63CD"/>
    <w:rsid w:val="008E673C"/>
    <w:rsid w:val="008E69C6"/>
    <w:rsid w:val="008E708A"/>
    <w:rsid w:val="008E7A0C"/>
    <w:rsid w:val="008E7B73"/>
    <w:rsid w:val="008F030A"/>
    <w:rsid w:val="008F05F7"/>
    <w:rsid w:val="008F07C5"/>
    <w:rsid w:val="008F0B49"/>
    <w:rsid w:val="008F0ECD"/>
    <w:rsid w:val="008F1540"/>
    <w:rsid w:val="008F1B71"/>
    <w:rsid w:val="008F1E4B"/>
    <w:rsid w:val="008F2263"/>
    <w:rsid w:val="008F23D2"/>
    <w:rsid w:val="008F2C2D"/>
    <w:rsid w:val="008F3938"/>
    <w:rsid w:val="008F3ABA"/>
    <w:rsid w:val="008F3F10"/>
    <w:rsid w:val="008F492B"/>
    <w:rsid w:val="008F4FA9"/>
    <w:rsid w:val="008F4FC7"/>
    <w:rsid w:val="008F518E"/>
    <w:rsid w:val="008F5273"/>
    <w:rsid w:val="008F57E8"/>
    <w:rsid w:val="008F5835"/>
    <w:rsid w:val="008F5922"/>
    <w:rsid w:val="008F5B4A"/>
    <w:rsid w:val="008F6837"/>
    <w:rsid w:val="008F697C"/>
    <w:rsid w:val="008F7111"/>
    <w:rsid w:val="008F775D"/>
    <w:rsid w:val="008F77AB"/>
    <w:rsid w:val="008F7A39"/>
    <w:rsid w:val="008F7E65"/>
    <w:rsid w:val="009001C8"/>
    <w:rsid w:val="00900E00"/>
    <w:rsid w:val="0090139D"/>
    <w:rsid w:val="009014C5"/>
    <w:rsid w:val="0090174B"/>
    <w:rsid w:val="00901ADF"/>
    <w:rsid w:val="00901B71"/>
    <w:rsid w:val="00902C89"/>
    <w:rsid w:val="00902DCD"/>
    <w:rsid w:val="00903816"/>
    <w:rsid w:val="00903F95"/>
    <w:rsid w:val="009042A0"/>
    <w:rsid w:val="00904692"/>
    <w:rsid w:val="00905D2D"/>
    <w:rsid w:val="009064FE"/>
    <w:rsid w:val="00906D20"/>
    <w:rsid w:val="009071EC"/>
    <w:rsid w:val="00907533"/>
    <w:rsid w:val="009077BF"/>
    <w:rsid w:val="009079CA"/>
    <w:rsid w:val="009079EA"/>
    <w:rsid w:val="00907FAF"/>
    <w:rsid w:val="009114A0"/>
    <w:rsid w:val="00912391"/>
    <w:rsid w:val="009127FE"/>
    <w:rsid w:val="00912E4F"/>
    <w:rsid w:val="00914318"/>
    <w:rsid w:val="00914891"/>
    <w:rsid w:val="00914B99"/>
    <w:rsid w:val="00914EBF"/>
    <w:rsid w:val="0091502D"/>
    <w:rsid w:val="009154B8"/>
    <w:rsid w:val="009155FF"/>
    <w:rsid w:val="00915A8A"/>
    <w:rsid w:val="0091681F"/>
    <w:rsid w:val="00916F8E"/>
    <w:rsid w:val="00917A35"/>
    <w:rsid w:val="00920CFC"/>
    <w:rsid w:val="0092105D"/>
    <w:rsid w:val="00921099"/>
    <w:rsid w:val="009210ED"/>
    <w:rsid w:val="00921D79"/>
    <w:rsid w:val="00921FC8"/>
    <w:rsid w:val="009229CA"/>
    <w:rsid w:val="00922DED"/>
    <w:rsid w:val="00923AB8"/>
    <w:rsid w:val="00924B6F"/>
    <w:rsid w:val="00926149"/>
    <w:rsid w:val="00926926"/>
    <w:rsid w:val="009277BB"/>
    <w:rsid w:val="00927819"/>
    <w:rsid w:val="0093017E"/>
    <w:rsid w:val="00930BC1"/>
    <w:rsid w:val="009310EE"/>
    <w:rsid w:val="009323EA"/>
    <w:rsid w:val="00932AC3"/>
    <w:rsid w:val="00933365"/>
    <w:rsid w:val="009338AF"/>
    <w:rsid w:val="009338E2"/>
    <w:rsid w:val="00933F55"/>
    <w:rsid w:val="00933FF5"/>
    <w:rsid w:val="0093504E"/>
    <w:rsid w:val="009353D6"/>
    <w:rsid w:val="009354F4"/>
    <w:rsid w:val="0093581F"/>
    <w:rsid w:val="0093614D"/>
    <w:rsid w:val="009373F2"/>
    <w:rsid w:val="00937641"/>
    <w:rsid w:val="00937685"/>
    <w:rsid w:val="00937F82"/>
    <w:rsid w:val="00940626"/>
    <w:rsid w:val="0094101F"/>
    <w:rsid w:val="009410FF"/>
    <w:rsid w:val="00941125"/>
    <w:rsid w:val="00941997"/>
    <w:rsid w:val="00941C60"/>
    <w:rsid w:val="0094301E"/>
    <w:rsid w:val="009432C1"/>
    <w:rsid w:val="00943D15"/>
    <w:rsid w:val="00945539"/>
    <w:rsid w:val="0094587B"/>
    <w:rsid w:val="009477E6"/>
    <w:rsid w:val="00947834"/>
    <w:rsid w:val="00947BDE"/>
    <w:rsid w:val="00950064"/>
    <w:rsid w:val="00950B85"/>
    <w:rsid w:val="00950E33"/>
    <w:rsid w:val="00951899"/>
    <w:rsid w:val="00951B55"/>
    <w:rsid w:val="0095233B"/>
    <w:rsid w:val="0095246C"/>
    <w:rsid w:val="00952DAA"/>
    <w:rsid w:val="00953359"/>
    <w:rsid w:val="009535D6"/>
    <w:rsid w:val="00953B4B"/>
    <w:rsid w:val="00954A39"/>
    <w:rsid w:val="00954FEE"/>
    <w:rsid w:val="00955305"/>
    <w:rsid w:val="00955D29"/>
    <w:rsid w:val="009566E0"/>
    <w:rsid w:val="00956A8E"/>
    <w:rsid w:val="009603EC"/>
    <w:rsid w:val="0096174A"/>
    <w:rsid w:val="00961965"/>
    <w:rsid w:val="00961F09"/>
    <w:rsid w:val="009623AC"/>
    <w:rsid w:val="00962795"/>
    <w:rsid w:val="00963648"/>
    <w:rsid w:val="00963E35"/>
    <w:rsid w:val="0096533E"/>
    <w:rsid w:val="00967512"/>
    <w:rsid w:val="00967951"/>
    <w:rsid w:val="00967C2D"/>
    <w:rsid w:val="00967C30"/>
    <w:rsid w:val="00967E62"/>
    <w:rsid w:val="00970311"/>
    <w:rsid w:val="009709A6"/>
    <w:rsid w:val="00970BFD"/>
    <w:rsid w:val="0097116C"/>
    <w:rsid w:val="00971B0C"/>
    <w:rsid w:val="00972619"/>
    <w:rsid w:val="009730E5"/>
    <w:rsid w:val="0097372C"/>
    <w:rsid w:val="00973C13"/>
    <w:rsid w:val="0097437A"/>
    <w:rsid w:val="00974EAE"/>
    <w:rsid w:val="00975BCF"/>
    <w:rsid w:val="0097609B"/>
    <w:rsid w:val="0097671A"/>
    <w:rsid w:val="00976E9B"/>
    <w:rsid w:val="009775A5"/>
    <w:rsid w:val="00980305"/>
    <w:rsid w:val="00982ABB"/>
    <w:rsid w:val="00983980"/>
    <w:rsid w:val="00983DA0"/>
    <w:rsid w:val="00985258"/>
    <w:rsid w:val="00985C85"/>
    <w:rsid w:val="00986E04"/>
    <w:rsid w:val="00987615"/>
    <w:rsid w:val="0098765C"/>
    <w:rsid w:val="00990306"/>
    <w:rsid w:val="009905C9"/>
    <w:rsid w:val="00990B08"/>
    <w:rsid w:val="00990C1F"/>
    <w:rsid w:val="00990D33"/>
    <w:rsid w:val="00990D92"/>
    <w:rsid w:val="009910DF"/>
    <w:rsid w:val="0099133B"/>
    <w:rsid w:val="00993AC2"/>
    <w:rsid w:val="00993C55"/>
    <w:rsid w:val="00993E06"/>
    <w:rsid w:val="00994065"/>
    <w:rsid w:val="00994D1F"/>
    <w:rsid w:val="009953B6"/>
    <w:rsid w:val="00995848"/>
    <w:rsid w:val="009964D0"/>
    <w:rsid w:val="009966A8"/>
    <w:rsid w:val="00996AC3"/>
    <w:rsid w:val="00996FAF"/>
    <w:rsid w:val="009973CB"/>
    <w:rsid w:val="00997AF3"/>
    <w:rsid w:val="00997E3B"/>
    <w:rsid w:val="00997ED9"/>
    <w:rsid w:val="009A2156"/>
    <w:rsid w:val="009A2239"/>
    <w:rsid w:val="009A2B19"/>
    <w:rsid w:val="009A3476"/>
    <w:rsid w:val="009A365B"/>
    <w:rsid w:val="009A4565"/>
    <w:rsid w:val="009A50EB"/>
    <w:rsid w:val="009A536C"/>
    <w:rsid w:val="009A7120"/>
    <w:rsid w:val="009A7174"/>
    <w:rsid w:val="009A7264"/>
    <w:rsid w:val="009A73DF"/>
    <w:rsid w:val="009A7D92"/>
    <w:rsid w:val="009B03E9"/>
    <w:rsid w:val="009B0A04"/>
    <w:rsid w:val="009B0A23"/>
    <w:rsid w:val="009B113D"/>
    <w:rsid w:val="009B118E"/>
    <w:rsid w:val="009B17A0"/>
    <w:rsid w:val="009B197B"/>
    <w:rsid w:val="009B1B04"/>
    <w:rsid w:val="009B1D8F"/>
    <w:rsid w:val="009B232B"/>
    <w:rsid w:val="009B2774"/>
    <w:rsid w:val="009B2CC2"/>
    <w:rsid w:val="009B2FFA"/>
    <w:rsid w:val="009B301C"/>
    <w:rsid w:val="009B314E"/>
    <w:rsid w:val="009B3AE5"/>
    <w:rsid w:val="009B46B1"/>
    <w:rsid w:val="009B47DB"/>
    <w:rsid w:val="009B5122"/>
    <w:rsid w:val="009B526C"/>
    <w:rsid w:val="009B57B4"/>
    <w:rsid w:val="009B58E4"/>
    <w:rsid w:val="009B5BB0"/>
    <w:rsid w:val="009B601A"/>
    <w:rsid w:val="009B65F3"/>
    <w:rsid w:val="009B6855"/>
    <w:rsid w:val="009B6D7B"/>
    <w:rsid w:val="009B72A3"/>
    <w:rsid w:val="009C018C"/>
    <w:rsid w:val="009C0459"/>
    <w:rsid w:val="009C140D"/>
    <w:rsid w:val="009C1CCD"/>
    <w:rsid w:val="009C1E8B"/>
    <w:rsid w:val="009C23BF"/>
    <w:rsid w:val="009C368B"/>
    <w:rsid w:val="009C37B5"/>
    <w:rsid w:val="009C3B5C"/>
    <w:rsid w:val="009C3E97"/>
    <w:rsid w:val="009C49CB"/>
    <w:rsid w:val="009C5C47"/>
    <w:rsid w:val="009C5E4E"/>
    <w:rsid w:val="009C6A71"/>
    <w:rsid w:val="009C6E32"/>
    <w:rsid w:val="009C7390"/>
    <w:rsid w:val="009C7762"/>
    <w:rsid w:val="009C77C5"/>
    <w:rsid w:val="009C7C04"/>
    <w:rsid w:val="009C7E67"/>
    <w:rsid w:val="009D03E2"/>
    <w:rsid w:val="009D08C9"/>
    <w:rsid w:val="009D0DD7"/>
    <w:rsid w:val="009D14EE"/>
    <w:rsid w:val="009D166E"/>
    <w:rsid w:val="009D1F49"/>
    <w:rsid w:val="009D2222"/>
    <w:rsid w:val="009D295F"/>
    <w:rsid w:val="009D29EF"/>
    <w:rsid w:val="009D2E8D"/>
    <w:rsid w:val="009D38FB"/>
    <w:rsid w:val="009D4448"/>
    <w:rsid w:val="009D487D"/>
    <w:rsid w:val="009D516F"/>
    <w:rsid w:val="009D519E"/>
    <w:rsid w:val="009D5958"/>
    <w:rsid w:val="009D5E15"/>
    <w:rsid w:val="009D6038"/>
    <w:rsid w:val="009D65DD"/>
    <w:rsid w:val="009D6844"/>
    <w:rsid w:val="009D6905"/>
    <w:rsid w:val="009D7982"/>
    <w:rsid w:val="009E080D"/>
    <w:rsid w:val="009E1389"/>
    <w:rsid w:val="009E187C"/>
    <w:rsid w:val="009E1E5D"/>
    <w:rsid w:val="009E21B6"/>
    <w:rsid w:val="009E2788"/>
    <w:rsid w:val="009E2B8E"/>
    <w:rsid w:val="009E2CDC"/>
    <w:rsid w:val="009E4992"/>
    <w:rsid w:val="009E61D1"/>
    <w:rsid w:val="009E782B"/>
    <w:rsid w:val="009F00AE"/>
    <w:rsid w:val="009F0A08"/>
    <w:rsid w:val="009F0C51"/>
    <w:rsid w:val="009F0DCC"/>
    <w:rsid w:val="009F1520"/>
    <w:rsid w:val="009F1A7E"/>
    <w:rsid w:val="009F1B2D"/>
    <w:rsid w:val="009F1F59"/>
    <w:rsid w:val="009F2784"/>
    <w:rsid w:val="009F28F2"/>
    <w:rsid w:val="009F3002"/>
    <w:rsid w:val="009F3656"/>
    <w:rsid w:val="009F3837"/>
    <w:rsid w:val="009F4A15"/>
    <w:rsid w:val="009F4A71"/>
    <w:rsid w:val="009F5504"/>
    <w:rsid w:val="009F59BD"/>
    <w:rsid w:val="009F5B06"/>
    <w:rsid w:val="009F6709"/>
    <w:rsid w:val="009F7324"/>
    <w:rsid w:val="009F7698"/>
    <w:rsid w:val="009F78CA"/>
    <w:rsid w:val="00A001A5"/>
    <w:rsid w:val="00A00674"/>
    <w:rsid w:val="00A00932"/>
    <w:rsid w:val="00A00C4C"/>
    <w:rsid w:val="00A00E83"/>
    <w:rsid w:val="00A01632"/>
    <w:rsid w:val="00A01967"/>
    <w:rsid w:val="00A01C17"/>
    <w:rsid w:val="00A023E9"/>
    <w:rsid w:val="00A032D3"/>
    <w:rsid w:val="00A03E0D"/>
    <w:rsid w:val="00A040B5"/>
    <w:rsid w:val="00A043BB"/>
    <w:rsid w:val="00A0521B"/>
    <w:rsid w:val="00A054BE"/>
    <w:rsid w:val="00A0559A"/>
    <w:rsid w:val="00A05769"/>
    <w:rsid w:val="00A05CA1"/>
    <w:rsid w:val="00A05D78"/>
    <w:rsid w:val="00A062D6"/>
    <w:rsid w:val="00A06531"/>
    <w:rsid w:val="00A065D9"/>
    <w:rsid w:val="00A06AB1"/>
    <w:rsid w:val="00A06B7A"/>
    <w:rsid w:val="00A06E97"/>
    <w:rsid w:val="00A075AD"/>
    <w:rsid w:val="00A07753"/>
    <w:rsid w:val="00A078C6"/>
    <w:rsid w:val="00A100BE"/>
    <w:rsid w:val="00A10983"/>
    <w:rsid w:val="00A10F37"/>
    <w:rsid w:val="00A10F79"/>
    <w:rsid w:val="00A1152C"/>
    <w:rsid w:val="00A11BDD"/>
    <w:rsid w:val="00A11FE3"/>
    <w:rsid w:val="00A12094"/>
    <w:rsid w:val="00A12811"/>
    <w:rsid w:val="00A12B02"/>
    <w:rsid w:val="00A12C6C"/>
    <w:rsid w:val="00A1370A"/>
    <w:rsid w:val="00A138D3"/>
    <w:rsid w:val="00A14778"/>
    <w:rsid w:val="00A1493A"/>
    <w:rsid w:val="00A14C3F"/>
    <w:rsid w:val="00A14D76"/>
    <w:rsid w:val="00A1525F"/>
    <w:rsid w:val="00A155B3"/>
    <w:rsid w:val="00A1649E"/>
    <w:rsid w:val="00A16788"/>
    <w:rsid w:val="00A16955"/>
    <w:rsid w:val="00A17368"/>
    <w:rsid w:val="00A17A25"/>
    <w:rsid w:val="00A17ACD"/>
    <w:rsid w:val="00A17DD7"/>
    <w:rsid w:val="00A17EF3"/>
    <w:rsid w:val="00A212F2"/>
    <w:rsid w:val="00A21AF6"/>
    <w:rsid w:val="00A22772"/>
    <w:rsid w:val="00A22BB3"/>
    <w:rsid w:val="00A22DA5"/>
    <w:rsid w:val="00A2300F"/>
    <w:rsid w:val="00A2407F"/>
    <w:rsid w:val="00A240F8"/>
    <w:rsid w:val="00A24654"/>
    <w:rsid w:val="00A24919"/>
    <w:rsid w:val="00A24A4F"/>
    <w:rsid w:val="00A25409"/>
    <w:rsid w:val="00A25422"/>
    <w:rsid w:val="00A25FE3"/>
    <w:rsid w:val="00A263EF"/>
    <w:rsid w:val="00A264D4"/>
    <w:rsid w:val="00A26629"/>
    <w:rsid w:val="00A26957"/>
    <w:rsid w:val="00A26AC5"/>
    <w:rsid w:val="00A30644"/>
    <w:rsid w:val="00A31568"/>
    <w:rsid w:val="00A32174"/>
    <w:rsid w:val="00A32340"/>
    <w:rsid w:val="00A33B4F"/>
    <w:rsid w:val="00A33E10"/>
    <w:rsid w:val="00A34CF5"/>
    <w:rsid w:val="00A35977"/>
    <w:rsid w:val="00A36BA4"/>
    <w:rsid w:val="00A372F1"/>
    <w:rsid w:val="00A3764D"/>
    <w:rsid w:val="00A4139F"/>
    <w:rsid w:val="00A42A1E"/>
    <w:rsid w:val="00A42F78"/>
    <w:rsid w:val="00A43243"/>
    <w:rsid w:val="00A43324"/>
    <w:rsid w:val="00A4334B"/>
    <w:rsid w:val="00A443A4"/>
    <w:rsid w:val="00A45100"/>
    <w:rsid w:val="00A45AA3"/>
    <w:rsid w:val="00A45B57"/>
    <w:rsid w:val="00A46C94"/>
    <w:rsid w:val="00A473FF"/>
    <w:rsid w:val="00A4789D"/>
    <w:rsid w:val="00A50A1D"/>
    <w:rsid w:val="00A50A79"/>
    <w:rsid w:val="00A50B44"/>
    <w:rsid w:val="00A51854"/>
    <w:rsid w:val="00A51881"/>
    <w:rsid w:val="00A51ACD"/>
    <w:rsid w:val="00A51C7F"/>
    <w:rsid w:val="00A51E71"/>
    <w:rsid w:val="00A5216F"/>
    <w:rsid w:val="00A52D28"/>
    <w:rsid w:val="00A52DD8"/>
    <w:rsid w:val="00A52ECA"/>
    <w:rsid w:val="00A532D7"/>
    <w:rsid w:val="00A539CE"/>
    <w:rsid w:val="00A54B1D"/>
    <w:rsid w:val="00A54ECF"/>
    <w:rsid w:val="00A55398"/>
    <w:rsid w:val="00A5619B"/>
    <w:rsid w:val="00A56E6C"/>
    <w:rsid w:val="00A5780C"/>
    <w:rsid w:val="00A604DC"/>
    <w:rsid w:val="00A6187A"/>
    <w:rsid w:val="00A61C9E"/>
    <w:rsid w:val="00A61E67"/>
    <w:rsid w:val="00A630FF"/>
    <w:rsid w:val="00A63ABB"/>
    <w:rsid w:val="00A63B72"/>
    <w:rsid w:val="00A65E16"/>
    <w:rsid w:val="00A6648C"/>
    <w:rsid w:val="00A66BE5"/>
    <w:rsid w:val="00A67393"/>
    <w:rsid w:val="00A676F3"/>
    <w:rsid w:val="00A67896"/>
    <w:rsid w:val="00A678BC"/>
    <w:rsid w:val="00A704D4"/>
    <w:rsid w:val="00A708E5"/>
    <w:rsid w:val="00A70DF5"/>
    <w:rsid w:val="00A71188"/>
    <w:rsid w:val="00A72021"/>
    <w:rsid w:val="00A73732"/>
    <w:rsid w:val="00A73803"/>
    <w:rsid w:val="00A73974"/>
    <w:rsid w:val="00A74923"/>
    <w:rsid w:val="00A7587B"/>
    <w:rsid w:val="00A77188"/>
    <w:rsid w:val="00A77279"/>
    <w:rsid w:val="00A7747A"/>
    <w:rsid w:val="00A77C1A"/>
    <w:rsid w:val="00A77F13"/>
    <w:rsid w:val="00A8027A"/>
    <w:rsid w:val="00A803A8"/>
    <w:rsid w:val="00A80EB2"/>
    <w:rsid w:val="00A811EC"/>
    <w:rsid w:val="00A8249D"/>
    <w:rsid w:val="00A8259B"/>
    <w:rsid w:val="00A83BC8"/>
    <w:rsid w:val="00A84A49"/>
    <w:rsid w:val="00A84F0B"/>
    <w:rsid w:val="00A85558"/>
    <w:rsid w:val="00A8559B"/>
    <w:rsid w:val="00A86887"/>
    <w:rsid w:val="00A87324"/>
    <w:rsid w:val="00A87AAE"/>
    <w:rsid w:val="00A9066D"/>
    <w:rsid w:val="00A90702"/>
    <w:rsid w:val="00A90C44"/>
    <w:rsid w:val="00A916EC"/>
    <w:rsid w:val="00A9273A"/>
    <w:rsid w:val="00A92FA7"/>
    <w:rsid w:val="00A94174"/>
    <w:rsid w:val="00A947DF"/>
    <w:rsid w:val="00A949D4"/>
    <w:rsid w:val="00A94E2B"/>
    <w:rsid w:val="00A95CEA"/>
    <w:rsid w:val="00A95E6B"/>
    <w:rsid w:val="00A963B2"/>
    <w:rsid w:val="00A9692D"/>
    <w:rsid w:val="00A9715F"/>
    <w:rsid w:val="00AA1A34"/>
    <w:rsid w:val="00AA1BE9"/>
    <w:rsid w:val="00AA1E10"/>
    <w:rsid w:val="00AA1F47"/>
    <w:rsid w:val="00AA205A"/>
    <w:rsid w:val="00AA2432"/>
    <w:rsid w:val="00AA282A"/>
    <w:rsid w:val="00AA5904"/>
    <w:rsid w:val="00AA5A49"/>
    <w:rsid w:val="00AA5EA9"/>
    <w:rsid w:val="00AA6294"/>
    <w:rsid w:val="00AA6583"/>
    <w:rsid w:val="00AA6896"/>
    <w:rsid w:val="00AA6DA6"/>
    <w:rsid w:val="00AA733B"/>
    <w:rsid w:val="00AB1321"/>
    <w:rsid w:val="00AB1D49"/>
    <w:rsid w:val="00AB3888"/>
    <w:rsid w:val="00AB3A0A"/>
    <w:rsid w:val="00AB3B0E"/>
    <w:rsid w:val="00AB580D"/>
    <w:rsid w:val="00AB69F9"/>
    <w:rsid w:val="00AB6BB8"/>
    <w:rsid w:val="00AB7643"/>
    <w:rsid w:val="00AB7873"/>
    <w:rsid w:val="00AB7ECD"/>
    <w:rsid w:val="00AC020F"/>
    <w:rsid w:val="00AC074D"/>
    <w:rsid w:val="00AC0A8D"/>
    <w:rsid w:val="00AC0C8B"/>
    <w:rsid w:val="00AC0D69"/>
    <w:rsid w:val="00AC0E81"/>
    <w:rsid w:val="00AC17E0"/>
    <w:rsid w:val="00AC19B8"/>
    <w:rsid w:val="00AC1D08"/>
    <w:rsid w:val="00AC23D9"/>
    <w:rsid w:val="00AC27B0"/>
    <w:rsid w:val="00AC3085"/>
    <w:rsid w:val="00AC367C"/>
    <w:rsid w:val="00AC39BD"/>
    <w:rsid w:val="00AC3B5C"/>
    <w:rsid w:val="00AC43B8"/>
    <w:rsid w:val="00AC464A"/>
    <w:rsid w:val="00AC4CE3"/>
    <w:rsid w:val="00AC58A7"/>
    <w:rsid w:val="00AC598C"/>
    <w:rsid w:val="00AC5B80"/>
    <w:rsid w:val="00AC5DA9"/>
    <w:rsid w:val="00AC6375"/>
    <w:rsid w:val="00AC698E"/>
    <w:rsid w:val="00AC73DB"/>
    <w:rsid w:val="00AC7B50"/>
    <w:rsid w:val="00AC7BB5"/>
    <w:rsid w:val="00AD0BA5"/>
    <w:rsid w:val="00AD0C09"/>
    <w:rsid w:val="00AD1781"/>
    <w:rsid w:val="00AD1D8E"/>
    <w:rsid w:val="00AD26FD"/>
    <w:rsid w:val="00AD2783"/>
    <w:rsid w:val="00AD2A89"/>
    <w:rsid w:val="00AD2E0C"/>
    <w:rsid w:val="00AD331D"/>
    <w:rsid w:val="00AD3520"/>
    <w:rsid w:val="00AD4481"/>
    <w:rsid w:val="00AD44D7"/>
    <w:rsid w:val="00AD6E24"/>
    <w:rsid w:val="00AD79C6"/>
    <w:rsid w:val="00AE027D"/>
    <w:rsid w:val="00AE08E9"/>
    <w:rsid w:val="00AE121F"/>
    <w:rsid w:val="00AE12C5"/>
    <w:rsid w:val="00AE12F5"/>
    <w:rsid w:val="00AE147C"/>
    <w:rsid w:val="00AE1669"/>
    <w:rsid w:val="00AE1D0F"/>
    <w:rsid w:val="00AE240B"/>
    <w:rsid w:val="00AE28E2"/>
    <w:rsid w:val="00AE325C"/>
    <w:rsid w:val="00AE330E"/>
    <w:rsid w:val="00AE361D"/>
    <w:rsid w:val="00AE3ED0"/>
    <w:rsid w:val="00AE4B3B"/>
    <w:rsid w:val="00AE51E9"/>
    <w:rsid w:val="00AE5479"/>
    <w:rsid w:val="00AE5494"/>
    <w:rsid w:val="00AE603B"/>
    <w:rsid w:val="00AE670A"/>
    <w:rsid w:val="00AE6A55"/>
    <w:rsid w:val="00AE6F23"/>
    <w:rsid w:val="00AE763D"/>
    <w:rsid w:val="00AE798A"/>
    <w:rsid w:val="00AE7DA7"/>
    <w:rsid w:val="00AE7DA9"/>
    <w:rsid w:val="00AE7FF6"/>
    <w:rsid w:val="00AE7FF9"/>
    <w:rsid w:val="00AF06AE"/>
    <w:rsid w:val="00AF08FE"/>
    <w:rsid w:val="00AF12D3"/>
    <w:rsid w:val="00AF1F9F"/>
    <w:rsid w:val="00AF27E4"/>
    <w:rsid w:val="00AF28BA"/>
    <w:rsid w:val="00AF2E0A"/>
    <w:rsid w:val="00AF3082"/>
    <w:rsid w:val="00AF3373"/>
    <w:rsid w:val="00AF3547"/>
    <w:rsid w:val="00AF3E93"/>
    <w:rsid w:val="00AF3F86"/>
    <w:rsid w:val="00AF3F8A"/>
    <w:rsid w:val="00AF42F9"/>
    <w:rsid w:val="00AF5ACE"/>
    <w:rsid w:val="00AF5C07"/>
    <w:rsid w:val="00AF60D6"/>
    <w:rsid w:val="00AF74FC"/>
    <w:rsid w:val="00AF7947"/>
    <w:rsid w:val="00B0022B"/>
    <w:rsid w:val="00B00621"/>
    <w:rsid w:val="00B01571"/>
    <w:rsid w:val="00B01734"/>
    <w:rsid w:val="00B01CC0"/>
    <w:rsid w:val="00B01D83"/>
    <w:rsid w:val="00B021B2"/>
    <w:rsid w:val="00B02773"/>
    <w:rsid w:val="00B02830"/>
    <w:rsid w:val="00B03148"/>
    <w:rsid w:val="00B031F1"/>
    <w:rsid w:val="00B033AB"/>
    <w:rsid w:val="00B033E1"/>
    <w:rsid w:val="00B0362F"/>
    <w:rsid w:val="00B0395B"/>
    <w:rsid w:val="00B051F7"/>
    <w:rsid w:val="00B053AB"/>
    <w:rsid w:val="00B05D5A"/>
    <w:rsid w:val="00B06CDF"/>
    <w:rsid w:val="00B10794"/>
    <w:rsid w:val="00B10F96"/>
    <w:rsid w:val="00B10FC8"/>
    <w:rsid w:val="00B113F1"/>
    <w:rsid w:val="00B11472"/>
    <w:rsid w:val="00B11A12"/>
    <w:rsid w:val="00B11D47"/>
    <w:rsid w:val="00B12081"/>
    <w:rsid w:val="00B12271"/>
    <w:rsid w:val="00B12998"/>
    <w:rsid w:val="00B13B1F"/>
    <w:rsid w:val="00B14D1C"/>
    <w:rsid w:val="00B14FD4"/>
    <w:rsid w:val="00B157F7"/>
    <w:rsid w:val="00B15810"/>
    <w:rsid w:val="00B15D82"/>
    <w:rsid w:val="00B16084"/>
    <w:rsid w:val="00B1619F"/>
    <w:rsid w:val="00B16754"/>
    <w:rsid w:val="00B16B1E"/>
    <w:rsid w:val="00B1713D"/>
    <w:rsid w:val="00B17704"/>
    <w:rsid w:val="00B179AF"/>
    <w:rsid w:val="00B17A23"/>
    <w:rsid w:val="00B20379"/>
    <w:rsid w:val="00B21818"/>
    <w:rsid w:val="00B21A1F"/>
    <w:rsid w:val="00B21A7C"/>
    <w:rsid w:val="00B21CED"/>
    <w:rsid w:val="00B2249E"/>
    <w:rsid w:val="00B22511"/>
    <w:rsid w:val="00B22895"/>
    <w:rsid w:val="00B2300C"/>
    <w:rsid w:val="00B2318F"/>
    <w:rsid w:val="00B2380A"/>
    <w:rsid w:val="00B23AEA"/>
    <w:rsid w:val="00B24377"/>
    <w:rsid w:val="00B24463"/>
    <w:rsid w:val="00B24A6F"/>
    <w:rsid w:val="00B256D1"/>
    <w:rsid w:val="00B26435"/>
    <w:rsid w:val="00B268FA"/>
    <w:rsid w:val="00B26E76"/>
    <w:rsid w:val="00B271B7"/>
    <w:rsid w:val="00B27817"/>
    <w:rsid w:val="00B300FF"/>
    <w:rsid w:val="00B30430"/>
    <w:rsid w:val="00B30432"/>
    <w:rsid w:val="00B3064B"/>
    <w:rsid w:val="00B306CA"/>
    <w:rsid w:val="00B30A9C"/>
    <w:rsid w:val="00B31957"/>
    <w:rsid w:val="00B319E7"/>
    <w:rsid w:val="00B31D69"/>
    <w:rsid w:val="00B32EDC"/>
    <w:rsid w:val="00B33309"/>
    <w:rsid w:val="00B350D6"/>
    <w:rsid w:val="00B357D9"/>
    <w:rsid w:val="00B35C5A"/>
    <w:rsid w:val="00B3647E"/>
    <w:rsid w:val="00B36F7F"/>
    <w:rsid w:val="00B37B6E"/>
    <w:rsid w:val="00B37F9B"/>
    <w:rsid w:val="00B4115C"/>
    <w:rsid w:val="00B41705"/>
    <w:rsid w:val="00B4287C"/>
    <w:rsid w:val="00B4299A"/>
    <w:rsid w:val="00B42EC6"/>
    <w:rsid w:val="00B42F5D"/>
    <w:rsid w:val="00B43A48"/>
    <w:rsid w:val="00B43ECB"/>
    <w:rsid w:val="00B44837"/>
    <w:rsid w:val="00B45132"/>
    <w:rsid w:val="00B455DE"/>
    <w:rsid w:val="00B45A44"/>
    <w:rsid w:val="00B45A7F"/>
    <w:rsid w:val="00B45D84"/>
    <w:rsid w:val="00B45EC7"/>
    <w:rsid w:val="00B46287"/>
    <w:rsid w:val="00B468C2"/>
    <w:rsid w:val="00B46CF1"/>
    <w:rsid w:val="00B46D15"/>
    <w:rsid w:val="00B46FE6"/>
    <w:rsid w:val="00B4701C"/>
    <w:rsid w:val="00B476F1"/>
    <w:rsid w:val="00B50772"/>
    <w:rsid w:val="00B50D3E"/>
    <w:rsid w:val="00B51D8E"/>
    <w:rsid w:val="00B51FEF"/>
    <w:rsid w:val="00B52A13"/>
    <w:rsid w:val="00B52A64"/>
    <w:rsid w:val="00B52D1F"/>
    <w:rsid w:val="00B530B0"/>
    <w:rsid w:val="00B532D6"/>
    <w:rsid w:val="00B5337A"/>
    <w:rsid w:val="00B53B25"/>
    <w:rsid w:val="00B53B7F"/>
    <w:rsid w:val="00B54EDA"/>
    <w:rsid w:val="00B55053"/>
    <w:rsid w:val="00B55503"/>
    <w:rsid w:val="00B55DDD"/>
    <w:rsid w:val="00B55DEF"/>
    <w:rsid w:val="00B55E87"/>
    <w:rsid w:val="00B56049"/>
    <w:rsid w:val="00B57950"/>
    <w:rsid w:val="00B606DA"/>
    <w:rsid w:val="00B609FE"/>
    <w:rsid w:val="00B61A09"/>
    <w:rsid w:val="00B61BAF"/>
    <w:rsid w:val="00B621D8"/>
    <w:rsid w:val="00B62BA0"/>
    <w:rsid w:val="00B63102"/>
    <w:rsid w:val="00B63946"/>
    <w:rsid w:val="00B63E9C"/>
    <w:rsid w:val="00B6451B"/>
    <w:rsid w:val="00B64A41"/>
    <w:rsid w:val="00B64F11"/>
    <w:rsid w:val="00B65003"/>
    <w:rsid w:val="00B659F7"/>
    <w:rsid w:val="00B66031"/>
    <w:rsid w:val="00B66BC1"/>
    <w:rsid w:val="00B67031"/>
    <w:rsid w:val="00B6760F"/>
    <w:rsid w:val="00B6785C"/>
    <w:rsid w:val="00B70100"/>
    <w:rsid w:val="00B70183"/>
    <w:rsid w:val="00B70579"/>
    <w:rsid w:val="00B719E3"/>
    <w:rsid w:val="00B71A9E"/>
    <w:rsid w:val="00B71ADF"/>
    <w:rsid w:val="00B7220A"/>
    <w:rsid w:val="00B72406"/>
    <w:rsid w:val="00B72641"/>
    <w:rsid w:val="00B726E6"/>
    <w:rsid w:val="00B72751"/>
    <w:rsid w:val="00B72B00"/>
    <w:rsid w:val="00B72B17"/>
    <w:rsid w:val="00B72D9B"/>
    <w:rsid w:val="00B733BC"/>
    <w:rsid w:val="00B73B87"/>
    <w:rsid w:val="00B73BA5"/>
    <w:rsid w:val="00B73DC4"/>
    <w:rsid w:val="00B7439B"/>
    <w:rsid w:val="00B74A68"/>
    <w:rsid w:val="00B7527A"/>
    <w:rsid w:val="00B75793"/>
    <w:rsid w:val="00B75CEC"/>
    <w:rsid w:val="00B75E54"/>
    <w:rsid w:val="00B76244"/>
    <w:rsid w:val="00B7688A"/>
    <w:rsid w:val="00B76C2F"/>
    <w:rsid w:val="00B80BF7"/>
    <w:rsid w:val="00B80CD4"/>
    <w:rsid w:val="00B80DFD"/>
    <w:rsid w:val="00B80E89"/>
    <w:rsid w:val="00B813A5"/>
    <w:rsid w:val="00B817F2"/>
    <w:rsid w:val="00B81FB0"/>
    <w:rsid w:val="00B826DE"/>
    <w:rsid w:val="00B82918"/>
    <w:rsid w:val="00B8362B"/>
    <w:rsid w:val="00B84DF6"/>
    <w:rsid w:val="00B84EF4"/>
    <w:rsid w:val="00B853E0"/>
    <w:rsid w:val="00B8595C"/>
    <w:rsid w:val="00B8606D"/>
    <w:rsid w:val="00B864D2"/>
    <w:rsid w:val="00B87719"/>
    <w:rsid w:val="00B8774D"/>
    <w:rsid w:val="00B87DAD"/>
    <w:rsid w:val="00B87DF1"/>
    <w:rsid w:val="00B87F1A"/>
    <w:rsid w:val="00B91609"/>
    <w:rsid w:val="00B91FAC"/>
    <w:rsid w:val="00B92C41"/>
    <w:rsid w:val="00B93AC0"/>
    <w:rsid w:val="00B9535B"/>
    <w:rsid w:val="00B954C1"/>
    <w:rsid w:val="00B97472"/>
    <w:rsid w:val="00B97AB0"/>
    <w:rsid w:val="00BA03D6"/>
    <w:rsid w:val="00BA0A71"/>
    <w:rsid w:val="00BA1454"/>
    <w:rsid w:val="00BA14BE"/>
    <w:rsid w:val="00BA14FA"/>
    <w:rsid w:val="00BA1D8A"/>
    <w:rsid w:val="00BA2425"/>
    <w:rsid w:val="00BA2797"/>
    <w:rsid w:val="00BA2BA8"/>
    <w:rsid w:val="00BA2C29"/>
    <w:rsid w:val="00BA2F13"/>
    <w:rsid w:val="00BA350E"/>
    <w:rsid w:val="00BA43C6"/>
    <w:rsid w:val="00BA44D7"/>
    <w:rsid w:val="00BA4BBD"/>
    <w:rsid w:val="00BA554C"/>
    <w:rsid w:val="00BA56A6"/>
    <w:rsid w:val="00BA5FE9"/>
    <w:rsid w:val="00BA6029"/>
    <w:rsid w:val="00BA6857"/>
    <w:rsid w:val="00BA6B07"/>
    <w:rsid w:val="00BA6D5B"/>
    <w:rsid w:val="00BB0152"/>
    <w:rsid w:val="00BB16AE"/>
    <w:rsid w:val="00BB18D9"/>
    <w:rsid w:val="00BB1EFC"/>
    <w:rsid w:val="00BB22F4"/>
    <w:rsid w:val="00BB2C43"/>
    <w:rsid w:val="00BB30A8"/>
    <w:rsid w:val="00BB3678"/>
    <w:rsid w:val="00BB3922"/>
    <w:rsid w:val="00BB3987"/>
    <w:rsid w:val="00BB3AE3"/>
    <w:rsid w:val="00BB4F73"/>
    <w:rsid w:val="00BB4F98"/>
    <w:rsid w:val="00BB5054"/>
    <w:rsid w:val="00BB59BB"/>
    <w:rsid w:val="00BB5DF0"/>
    <w:rsid w:val="00BB60A7"/>
    <w:rsid w:val="00BB6108"/>
    <w:rsid w:val="00BB61B7"/>
    <w:rsid w:val="00BB7E49"/>
    <w:rsid w:val="00BC04D4"/>
    <w:rsid w:val="00BC05B1"/>
    <w:rsid w:val="00BC1676"/>
    <w:rsid w:val="00BC1D43"/>
    <w:rsid w:val="00BC2D62"/>
    <w:rsid w:val="00BC366B"/>
    <w:rsid w:val="00BC3A86"/>
    <w:rsid w:val="00BC55A0"/>
    <w:rsid w:val="00BC578C"/>
    <w:rsid w:val="00BC57BF"/>
    <w:rsid w:val="00BC5C17"/>
    <w:rsid w:val="00BC6564"/>
    <w:rsid w:val="00BC6FCC"/>
    <w:rsid w:val="00BC74CE"/>
    <w:rsid w:val="00BC7FBD"/>
    <w:rsid w:val="00BD05D3"/>
    <w:rsid w:val="00BD0E87"/>
    <w:rsid w:val="00BD10A1"/>
    <w:rsid w:val="00BD1B2D"/>
    <w:rsid w:val="00BD20A5"/>
    <w:rsid w:val="00BD2123"/>
    <w:rsid w:val="00BD217F"/>
    <w:rsid w:val="00BD2683"/>
    <w:rsid w:val="00BD2C13"/>
    <w:rsid w:val="00BD317E"/>
    <w:rsid w:val="00BD3FD5"/>
    <w:rsid w:val="00BD5EEE"/>
    <w:rsid w:val="00BD62E2"/>
    <w:rsid w:val="00BD6352"/>
    <w:rsid w:val="00BD6D63"/>
    <w:rsid w:val="00BD7283"/>
    <w:rsid w:val="00BD781C"/>
    <w:rsid w:val="00BD7F05"/>
    <w:rsid w:val="00BE09CE"/>
    <w:rsid w:val="00BE0DB6"/>
    <w:rsid w:val="00BE0EA9"/>
    <w:rsid w:val="00BE1E75"/>
    <w:rsid w:val="00BE2E0C"/>
    <w:rsid w:val="00BE2ED7"/>
    <w:rsid w:val="00BE2FC0"/>
    <w:rsid w:val="00BE31F3"/>
    <w:rsid w:val="00BE48DB"/>
    <w:rsid w:val="00BE4A55"/>
    <w:rsid w:val="00BE6468"/>
    <w:rsid w:val="00BE6827"/>
    <w:rsid w:val="00BE71DC"/>
    <w:rsid w:val="00BE79D8"/>
    <w:rsid w:val="00BF0061"/>
    <w:rsid w:val="00BF00CB"/>
    <w:rsid w:val="00BF08F8"/>
    <w:rsid w:val="00BF0E99"/>
    <w:rsid w:val="00BF0EE4"/>
    <w:rsid w:val="00BF10E5"/>
    <w:rsid w:val="00BF1CEF"/>
    <w:rsid w:val="00BF21A9"/>
    <w:rsid w:val="00BF29C0"/>
    <w:rsid w:val="00BF3A0B"/>
    <w:rsid w:val="00BF3AA0"/>
    <w:rsid w:val="00BF3DE0"/>
    <w:rsid w:val="00BF427C"/>
    <w:rsid w:val="00BF45DB"/>
    <w:rsid w:val="00BF4D65"/>
    <w:rsid w:val="00BF53A1"/>
    <w:rsid w:val="00BF59CE"/>
    <w:rsid w:val="00BF64B9"/>
    <w:rsid w:val="00BF6F90"/>
    <w:rsid w:val="00BF7C02"/>
    <w:rsid w:val="00BF7CAC"/>
    <w:rsid w:val="00C004FC"/>
    <w:rsid w:val="00C00C77"/>
    <w:rsid w:val="00C01757"/>
    <w:rsid w:val="00C0205C"/>
    <w:rsid w:val="00C0253F"/>
    <w:rsid w:val="00C02E31"/>
    <w:rsid w:val="00C03269"/>
    <w:rsid w:val="00C03E7C"/>
    <w:rsid w:val="00C04A59"/>
    <w:rsid w:val="00C05E1C"/>
    <w:rsid w:val="00C06DD5"/>
    <w:rsid w:val="00C071D1"/>
    <w:rsid w:val="00C072F9"/>
    <w:rsid w:val="00C07643"/>
    <w:rsid w:val="00C07AC8"/>
    <w:rsid w:val="00C101F3"/>
    <w:rsid w:val="00C116D9"/>
    <w:rsid w:val="00C123E6"/>
    <w:rsid w:val="00C12776"/>
    <w:rsid w:val="00C138B1"/>
    <w:rsid w:val="00C14596"/>
    <w:rsid w:val="00C1481E"/>
    <w:rsid w:val="00C14DFF"/>
    <w:rsid w:val="00C1532A"/>
    <w:rsid w:val="00C159E4"/>
    <w:rsid w:val="00C16345"/>
    <w:rsid w:val="00C16D2C"/>
    <w:rsid w:val="00C17544"/>
    <w:rsid w:val="00C17D4D"/>
    <w:rsid w:val="00C201D2"/>
    <w:rsid w:val="00C20300"/>
    <w:rsid w:val="00C21143"/>
    <w:rsid w:val="00C21188"/>
    <w:rsid w:val="00C217C8"/>
    <w:rsid w:val="00C21C24"/>
    <w:rsid w:val="00C22682"/>
    <w:rsid w:val="00C23712"/>
    <w:rsid w:val="00C23B0F"/>
    <w:rsid w:val="00C24AF1"/>
    <w:rsid w:val="00C25839"/>
    <w:rsid w:val="00C258F7"/>
    <w:rsid w:val="00C25916"/>
    <w:rsid w:val="00C25E86"/>
    <w:rsid w:val="00C27DB9"/>
    <w:rsid w:val="00C27EE8"/>
    <w:rsid w:val="00C3006E"/>
    <w:rsid w:val="00C30E09"/>
    <w:rsid w:val="00C3248B"/>
    <w:rsid w:val="00C325B9"/>
    <w:rsid w:val="00C32900"/>
    <w:rsid w:val="00C332BB"/>
    <w:rsid w:val="00C34236"/>
    <w:rsid w:val="00C34905"/>
    <w:rsid w:val="00C3490E"/>
    <w:rsid w:val="00C34A5D"/>
    <w:rsid w:val="00C3521C"/>
    <w:rsid w:val="00C359BE"/>
    <w:rsid w:val="00C35E09"/>
    <w:rsid w:val="00C36802"/>
    <w:rsid w:val="00C36990"/>
    <w:rsid w:val="00C36FAE"/>
    <w:rsid w:val="00C376EE"/>
    <w:rsid w:val="00C400C8"/>
    <w:rsid w:val="00C41D6B"/>
    <w:rsid w:val="00C434FA"/>
    <w:rsid w:val="00C436F3"/>
    <w:rsid w:val="00C43850"/>
    <w:rsid w:val="00C43D35"/>
    <w:rsid w:val="00C43FD4"/>
    <w:rsid w:val="00C4419C"/>
    <w:rsid w:val="00C44528"/>
    <w:rsid w:val="00C445AE"/>
    <w:rsid w:val="00C44775"/>
    <w:rsid w:val="00C45AC7"/>
    <w:rsid w:val="00C4621B"/>
    <w:rsid w:val="00C468F0"/>
    <w:rsid w:val="00C46CD9"/>
    <w:rsid w:val="00C47609"/>
    <w:rsid w:val="00C50768"/>
    <w:rsid w:val="00C50DF4"/>
    <w:rsid w:val="00C50E61"/>
    <w:rsid w:val="00C514C2"/>
    <w:rsid w:val="00C516C0"/>
    <w:rsid w:val="00C51833"/>
    <w:rsid w:val="00C51BD9"/>
    <w:rsid w:val="00C52102"/>
    <w:rsid w:val="00C525E3"/>
    <w:rsid w:val="00C52760"/>
    <w:rsid w:val="00C534D5"/>
    <w:rsid w:val="00C535C8"/>
    <w:rsid w:val="00C53695"/>
    <w:rsid w:val="00C53838"/>
    <w:rsid w:val="00C53BA5"/>
    <w:rsid w:val="00C53FBE"/>
    <w:rsid w:val="00C549B2"/>
    <w:rsid w:val="00C54CA9"/>
    <w:rsid w:val="00C54CB8"/>
    <w:rsid w:val="00C54E18"/>
    <w:rsid w:val="00C55550"/>
    <w:rsid w:val="00C55C78"/>
    <w:rsid w:val="00C565AF"/>
    <w:rsid w:val="00C56884"/>
    <w:rsid w:val="00C5741F"/>
    <w:rsid w:val="00C5771F"/>
    <w:rsid w:val="00C603E8"/>
    <w:rsid w:val="00C605C5"/>
    <w:rsid w:val="00C6096D"/>
    <w:rsid w:val="00C609BE"/>
    <w:rsid w:val="00C619C0"/>
    <w:rsid w:val="00C6240B"/>
    <w:rsid w:val="00C62EFD"/>
    <w:rsid w:val="00C63457"/>
    <w:rsid w:val="00C63924"/>
    <w:rsid w:val="00C63E2A"/>
    <w:rsid w:val="00C6485F"/>
    <w:rsid w:val="00C64A03"/>
    <w:rsid w:val="00C64D60"/>
    <w:rsid w:val="00C64F06"/>
    <w:rsid w:val="00C65162"/>
    <w:rsid w:val="00C6516F"/>
    <w:rsid w:val="00C6574E"/>
    <w:rsid w:val="00C6588C"/>
    <w:rsid w:val="00C65E45"/>
    <w:rsid w:val="00C6698A"/>
    <w:rsid w:val="00C66A23"/>
    <w:rsid w:val="00C66D06"/>
    <w:rsid w:val="00C67294"/>
    <w:rsid w:val="00C675EE"/>
    <w:rsid w:val="00C67A87"/>
    <w:rsid w:val="00C70BC2"/>
    <w:rsid w:val="00C70C10"/>
    <w:rsid w:val="00C70E31"/>
    <w:rsid w:val="00C70F5C"/>
    <w:rsid w:val="00C71136"/>
    <w:rsid w:val="00C711F4"/>
    <w:rsid w:val="00C71868"/>
    <w:rsid w:val="00C72CEF"/>
    <w:rsid w:val="00C73D00"/>
    <w:rsid w:val="00C74881"/>
    <w:rsid w:val="00C75AA2"/>
    <w:rsid w:val="00C75C55"/>
    <w:rsid w:val="00C76FBA"/>
    <w:rsid w:val="00C7718D"/>
    <w:rsid w:val="00C772C6"/>
    <w:rsid w:val="00C77583"/>
    <w:rsid w:val="00C77A19"/>
    <w:rsid w:val="00C77DC3"/>
    <w:rsid w:val="00C77E13"/>
    <w:rsid w:val="00C77F6A"/>
    <w:rsid w:val="00C82361"/>
    <w:rsid w:val="00C823B6"/>
    <w:rsid w:val="00C826C0"/>
    <w:rsid w:val="00C82703"/>
    <w:rsid w:val="00C837BD"/>
    <w:rsid w:val="00C8397A"/>
    <w:rsid w:val="00C83BBA"/>
    <w:rsid w:val="00C84052"/>
    <w:rsid w:val="00C84558"/>
    <w:rsid w:val="00C84C3B"/>
    <w:rsid w:val="00C8570C"/>
    <w:rsid w:val="00C85733"/>
    <w:rsid w:val="00C85981"/>
    <w:rsid w:val="00C87EA9"/>
    <w:rsid w:val="00C87EEF"/>
    <w:rsid w:val="00C90010"/>
    <w:rsid w:val="00C901C0"/>
    <w:rsid w:val="00C908EC"/>
    <w:rsid w:val="00C90E42"/>
    <w:rsid w:val="00C913C5"/>
    <w:rsid w:val="00C91489"/>
    <w:rsid w:val="00C919C8"/>
    <w:rsid w:val="00C91A26"/>
    <w:rsid w:val="00C922EE"/>
    <w:rsid w:val="00C92D42"/>
    <w:rsid w:val="00C93DB7"/>
    <w:rsid w:val="00C940AD"/>
    <w:rsid w:val="00C94BA1"/>
    <w:rsid w:val="00C94E90"/>
    <w:rsid w:val="00C951AE"/>
    <w:rsid w:val="00C95CF8"/>
    <w:rsid w:val="00C96EDE"/>
    <w:rsid w:val="00C97F11"/>
    <w:rsid w:val="00CA0856"/>
    <w:rsid w:val="00CA089E"/>
    <w:rsid w:val="00CA1554"/>
    <w:rsid w:val="00CA1980"/>
    <w:rsid w:val="00CA2732"/>
    <w:rsid w:val="00CA2F24"/>
    <w:rsid w:val="00CA3922"/>
    <w:rsid w:val="00CA3A50"/>
    <w:rsid w:val="00CA3BDF"/>
    <w:rsid w:val="00CA444B"/>
    <w:rsid w:val="00CA4C47"/>
    <w:rsid w:val="00CA68B6"/>
    <w:rsid w:val="00CA72CC"/>
    <w:rsid w:val="00CA7BF6"/>
    <w:rsid w:val="00CB01B5"/>
    <w:rsid w:val="00CB0356"/>
    <w:rsid w:val="00CB0483"/>
    <w:rsid w:val="00CB083A"/>
    <w:rsid w:val="00CB091D"/>
    <w:rsid w:val="00CB1828"/>
    <w:rsid w:val="00CB1A01"/>
    <w:rsid w:val="00CB21C2"/>
    <w:rsid w:val="00CB2325"/>
    <w:rsid w:val="00CB235F"/>
    <w:rsid w:val="00CB25D3"/>
    <w:rsid w:val="00CB26A6"/>
    <w:rsid w:val="00CB26D7"/>
    <w:rsid w:val="00CB31EC"/>
    <w:rsid w:val="00CB3758"/>
    <w:rsid w:val="00CB3B6F"/>
    <w:rsid w:val="00CB3BA1"/>
    <w:rsid w:val="00CB46B2"/>
    <w:rsid w:val="00CB5636"/>
    <w:rsid w:val="00CB5958"/>
    <w:rsid w:val="00CB6479"/>
    <w:rsid w:val="00CB7889"/>
    <w:rsid w:val="00CC0589"/>
    <w:rsid w:val="00CC0689"/>
    <w:rsid w:val="00CC0FD4"/>
    <w:rsid w:val="00CC1752"/>
    <w:rsid w:val="00CC1B04"/>
    <w:rsid w:val="00CC2066"/>
    <w:rsid w:val="00CC2B58"/>
    <w:rsid w:val="00CC3018"/>
    <w:rsid w:val="00CC3C11"/>
    <w:rsid w:val="00CC56D0"/>
    <w:rsid w:val="00CC7188"/>
    <w:rsid w:val="00CC7215"/>
    <w:rsid w:val="00CC7F8B"/>
    <w:rsid w:val="00CD0925"/>
    <w:rsid w:val="00CD0AF5"/>
    <w:rsid w:val="00CD0C9D"/>
    <w:rsid w:val="00CD1EAD"/>
    <w:rsid w:val="00CD1EF8"/>
    <w:rsid w:val="00CD28C6"/>
    <w:rsid w:val="00CD2905"/>
    <w:rsid w:val="00CD2BCF"/>
    <w:rsid w:val="00CD2F04"/>
    <w:rsid w:val="00CD33B5"/>
    <w:rsid w:val="00CD356F"/>
    <w:rsid w:val="00CD3CCD"/>
    <w:rsid w:val="00CD3CFF"/>
    <w:rsid w:val="00CD4CAC"/>
    <w:rsid w:val="00CD524F"/>
    <w:rsid w:val="00CD586D"/>
    <w:rsid w:val="00CD590F"/>
    <w:rsid w:val="00CD5B51"/>
    <w:rsid w:val="00CD5EA6"/>
    <w:rsid w:val="00CD710A"/>
    <w:rsid w:val="00CD7940"/>
    <w:rsid w:val="00CE0524"/>
    <w:rsid w:val="00CE055F"/>
    <w:rsid w:val="00CE0E20"/>
    <w:rsid w:val="00CE1492"/>
    <w:rsid w:val="00CE2280"/>
    <w:rsid w:val="00CE25F0"/>
    <w:rsid w:val="00CE299C"/>
    <w:rsid w:val="00CE3049"/>
    <w:rsid w:val="00CE37E8"/>
    <w:rsid w:val="00CE401D"/>
    <w:rsid w:val="00CE4235"/>
    <w:rsid w:val="00CE4EC2"/>
    <w:rsid w:val="00CE522A"/>
    <w:rsid w:val="00CE5304"/>
    <w:rsid w:val="00CE5C51"/>
    <w:rsid w:val="00CE66C3"/>
    <w:rsid w:val="00CE670E"/>
    <w:rsid w:val="00CE6B7A"/>
    <w:rsid w:val="00CE6CF3"/>
    <w:rsid w:val="00CE6D18"/>
    <w:rsid w:val="00CE7773"/>
    <w:rsid w:val="00CE78B0"/>
    <w:rsid w:val="00CE798F"/>
    <w:rsid w:val="00CF0288"/>
    <w:rsid w:val="00CF0BF8"/>
    <w:rsid w:val="00CF12DA"/>
    <w:rsid w:val="00CF1531"/>
    <w:rsid w:val="00CF18EF"/>
    <w:rsid w:val="00CF27D6"/>
    <w:rsid w:val="00CF415A"/>
    <w:rsid w:val="00CF42CE"/>
    <w:rsid w:val="00CF4715"/>
    <w:rsid w:val="00CF4F0A"/>
    <w:rsid w:val="00CF5AB7"/>
    <w:rsid w:val="00CF5E29"/>
    <w:rsid w:val="00CF62C3"/>
    <w:rsid w:val="00CF64AE"/>
    <w:rsid w:val="00CF71AF"/>
    <w:rsid w:val="00CF7A11"/>
    <w:rsid w:val="00CF7A9E"/>
    <w:rsid w:val="00CF7F67"/>
    <w:rsid w:val="00D0055F"/>
    <w:rsid w:val="00D01205"/>
    <w:rsid w:val="00D01CF6"/>
    <w:rsid w:val="00D027D6"/>
    <w:rsid w:val="00D03217"/>
    <w:rsid w:val="00D037EE"/>
    <w:rsid w:val="00D04724"/>
    <w:rsid w:val="00D0511C"/>
    <w:rsid w:val="00D0569A"/>
    <w:rsid w:val="00D05DF8"/>
    <w:rsid w:val="00D05ED2"/>
    <w:rsid w:val="00D061B0"/>
    <w:rsid w:val="00D06E04"/>
    <w:rsid w:val="00D07020"/>
    <w:rsid w:val="00D074CE"/>
    <w:rsid w:val="00D1055C"/>
    <w:rsid w:val="00D10747"/>
    <w:rsid w:val="00D10A59"/>
    <w:rsid w:val="00D10D10"/>
    <w:rsid w:val="00D11CEE"/>
    <w:rsid w:val="00D12808"/>
    <w:rsid w:val="00D12CF0"/>
    <w:rsid w:val="00D13250"/>
    <w:rsid w:val="00D13730"/>
    <w:rsid w:val="00D137E3"/>
    <w:rsid w:val="00D13D0E"/>
    <w:rsid w:val="00D13F43"/>
    <w:rsid w:val="00D14300"/>
    <w:rsid w:val="00D143E3"/>
    <w:rsid w:val="00D14C33"/>
    <w:rsid w:val="00D160BB"/>
    <w:rsid w:val="00D167B0"/>
    <w:rsid w:val="00D16DA6"/>
    <w:rsid w:val="00D16ECD"/>
    <w:rsid w:val="00D177C1"/>
    <w:rsid w:val="00D2061E"/>
    <w:rsid w:val="00D20910"/>
    <w:rsid w:val="00D20AF1"/>
    <w:rsid w:val="00D20BFF"/>
    <w:rsid w:val="00D21165"/>
    <w:rsid w:val="00D2125E"/>
    <w:rsid w:val="00D21303"/>
    <w:rsid w:val="00D21C0B"/>
    <w:rsid w:val="00D22C3E"/>
    <w:rsid w:val="00D232A0"/>
    <w:rsid w:val="00D233E6"/>
    <w:rsid w:val="00D2347E"/>
    <w:rsid w:val="00D23D22"/>
    <w:rsid w:val="00D246B6"/>
    <w:rsid w:val="00D25BBA"/>
    <w:rsid w:val="00D25CF9"/>
    <w:rsid w:val="00D267F4"/>
    <w:rsid w:val="00D2682C"/>
    <w:rsid w:val="00D27965"/>
    <w:rsid w:val="00D27B21"/>
    <w:rsid w:val="00D27EDA"/>
    <w:rsid w:val="00D30320"/>
    <w:rsid w:val="00D30BF4"/>
    <w:rsid w:val="00D3192E"/>
    <w:rsid w:val="00D319F0"/>
    <w:rsid w:val="00D31F01"/>
    <w:rsid w:val="00D3241C"/>
    <w:rsid w:val="00D324B8"/>
    <w:rsid w:val="00D3282C"/>
    <w:rsid w:val="00D3338A"/>
    <w:rsid w:val="00D335A6"/>
    <w:rsid w:val="00D33D65"/>
    <w:rsid w:val="00D34500"/>
    <w:rsid w:val="00D34860"/>
    <w:rsid w:val="00D34C9C"/>
    <w:rsid w:val="00D3508C"/>
    <w:rsid w:val="00D352D3"/>
    <w:rsid w:val="00D35997"/>
    <w:rsid w:val="00D365AA"/>
    <w:rsid w:val="00D37446"/>
    <w:rsid w:val="00D37E8F"/>
    <w:rsid w:val="00D40401"/>
    <w:rsid w:val="00D40421"/>
    <w:rsid w:val="00D40C05"/>
    <w:rsid w:val="00D410CD"/>
    <w:rsid w:val="00D41C74"/>
    <w:rsid w:val="00D425F9"/>
    <w:rsid w:val="00D42925"/>
    <w:rsid w:val="00D42D33"/>
    <w:rsid w:val="00D4317C"/>
    <w:rsid w:val="00D4348E"/>
    <w:rsid w:val="00D4402C"/>
    <w:rsid w:val="00D446F0"/>
    <w:rsid w:val="00D44E4A"/>
    <w:rsid w:val="00D4521E"/>
    <w:rsid w:val="00D45D5B"/>
    <w:rsid w:val="00D4647C"/>
    <w:rsid w:val="00D46582"/>
    <w:rsid w:val="00D465A1"/>
    <w:rsid w:val="00D46749"/>
    <w:rsid w:val="00D4774F"/>
    <w:rsid w:val="00D47D42"/>
    <w:rsid w:val="00D50265"/>
    <w:rsid w:val="00D514D3"/>
    <w:rsid w:val="00D521E5"/>
    <w:rsid w:val="00D5222C"/>
    <w:rsid w:val="00D5296B"/>
    <w:rsid w:val="00D5334B"/>
    <w:rsid w:val="00D54F87"/>
    <w:rsid w:val="00D5505E"/>
    <w:rsid w:val="00D550C6"/>
    <w:rsid w:val="00D5529F"/>
    <w:rsid w:val="00D55E6D"/>
    <w:rsid w:val="00D56314"/>
    <w:rsid w:val="00D56D61"/>
    <w:rsid w:val="00D56DA6"/>
    <w:rsid w:val="00D56DEA"/>
    <w:rsid w:val="00D57190"/>
    <w:rsid w:val="00D5722D"/>
    <w:rsid w:val="00D57552"/>
    <w:rsid w:val="00D60520"/>
    <w:rsid w:val="00D60B5D"/>
    <w:rsid w:val="00D60E49"/>
    <w:rsid w:val="00D61011"/>
    <w:rsid w:val="00D61479"/>
    <w:rsid w:val="00D61515"/>
    <w:rsid w:val="00D6167E"/>
    <w:rsid w:val="00D61CB0"/>
    <w:rsid w:val="00D61F1C"/>
    <w:rsid w:val="00D62407"/>
    <w:rsid w:val="00D6260B"/>
    <w:rsid w:val="00D626A5"/>
    <w:rsid w:val="00D62CFD"/>
    <w:rsid w:val="00D63703"/>
    <w:rsid w:val="00D63F73"/>
    <w:rsid w:val="00D6429C"/>
    <w:rsid w:val="00D64B9A"/>
    <w:rsid w:val="00D65066"/>
    <w:rsid w:val="00D6586A"/>
    <w:rsid w:val="00D65C3B"/>
    <w:rsid w:val="00D65CD9"/>
    <w:rsid w:val="00D65FB0"/>
    <w:rsid w:val="00D66FB6"/>
    <w:rsid w:val="00D671F4"/>
    <w:rsid w:val="00D67754"/>
    <w:rsid w:val="00D678E2"/>
    <w:rsid w:val="00D67E96"/>
    <w:rsid w:val="00D71028"/>
    <w:rsid w:val="00D72666"/>
    <w:rsid w:val="00D72CD3"/>
    <w:rsid w:val="00D7370D"/>
    <w:rsid w:val="00D73C5A"/>
    <w:rsid w:val="00D7417C"/>
    <w:rsid w:val="00D74940"/>
    <w:rsid w:val="00D74A7C"/>
    <w:rsid w:val="00D74EB2"/>
    <w:rsid w:val="00D75278"/>
    <w:rsid w:val="00D7542B"/>
    <w:rsid w:val="00D755FF"/>
    <w:rsid w:val="00D76657"/>
    <w:rsid w:val="00D76E73"/>
    <w:rsid w:val="00D77ADE"/>
    <w:rsid w:val="00D77B34"/>
    <w:rsid w:val="00D77BE0"/>
    <w:rsid w:val="00D77E57"/>
    <w:rsid w:val="00D77E76"/>
    <w:rsid w:val="00D80134"/>
    <w:rsid w:val="00D80856"/>
    <w:rsid w:val="00D812BA"/>
    <w:rsid w:val="00D814DE"/>
    <w:rsid w:val="00D8150D"/>
    <w:rsid w:val="00D81D06"/>
    <w:rsid w:val="00D823DD"/>
    <w:rsid w:val="00D8293A"/>
    <w:rsid w:val="00D83D8C"/>
    <w:rsid w:val="00D83F38"/>
    <w:rsid w:val="00D83FC4"/>
    <w:rsid w:val="00D84B87"/>
    <w:rsid w:val="00D8533F"/>
    <w:rsid w:val="00D85A90"/>
    <w:rsid w:val="00D85E72"/>
    <w:rsid w:val="00D862D2"/>
    <w:rsid w:val="00D86CC2"/>
    <w:rsid w:val="00D87973"/>
    <w:rsid w:val="00D87DF6"/>
    <w:rsid w:val="00D903AB"/>
    <w:rsid w:val="00D90B98"/>
    <w:rsid w:val="00D90D16"/>
    <w:rsid w:val="00D9126A"/>
    <w:rsid w:val="00D91C3D"/>
    <w:rsid w:val="00D9209F"/>
    <w:rsid w:val="00D923BD"/>
    <w:rsid w:val="00D92988"/>
    <w:rsid w:val="00D93073"/>
    <w:rsid w:val="00D9330A"/>
    <w:rsid w:val="00D940D1"/>
    <w:rsid w:val="00D94602"/>
    <w:rsid w:val="00D94972"/>
    <w:rsid w:val="00D94E29"/>
    <w:rsid w:val="00D959B0"/>
    <w:rsid w:val="00D9778C"/>
    <w:rsid w:val="00D97975"/>
    <w:rsid w:val="00DA00C5"/>
    <w:rsid w:val="00DA0810"/>
    <w:rsid w:val="00DA0838"/>
    <w:rsid w:val="00DA094A"/>
    <w:rsid w:val="00DA1AF3"/>
    <w:rsid w:val="00DA1B1A"/>
    <w:rsid w:val="00DA1D5E"/>
    <w:rsid w:val="00DA238A"/>
    <w:rsid w:val="00DA275A"/>
    <w:rsid w:val="00DA2AD9"/>
    <w:rsid w:val="00DA4D0E"/>
    <w:rsid w:val="00DA4DDF"/>
    <w:rsid w:val="00DA5181"/>
    <w:rsid w:val="00DA537B"/>
    <w:rsid w:val="00DA557F"/>
    <w:rsid w:val="00DA5B15"/>
    <w:rsid w:val="00DA5D03"/>
    <w:rsid w:val="00DA73B2"/>
    <w:rsid w:val="00DA7499"/>
    <w:rsid w:val="00DA7A5B"/>
    <w:rsid w:val="00DB1402"/>
    <w:rsid w:val="00DB1459"/>
    <w:rsid w:val="00DB16A5"/>
    <w:rsid w:val="00DB26E9"/>
    <w:rsid w:val="00DB282D"/>
    <w:rsid w:val="00DB2C7E"/>
    <w:rsid w:val="00DB2E91"/>
    <w:rsid w:val="00DB30C5"/>
    <w:rsid w:val="00DB4098"/>
    <w:rsid w:val="00DB4340"/>
    <w:rsid w:val="00DB4C3D"/>
    <w:rsid w:val="00DB4FF5"/>
    <w:rsid w:val="00DB553E"/>
    <w:rsid w:val="00DB5834"/>
    <w:rsid w:val="00DB65DE"/>
    <w:rsid w:val="00DB6BF2"/>
    <w:rsid w:val="00DB759E"/>
    <w:rsid w:val="00DB788F"/>
    <w:rsid w:val="00DB7A44"/>
    <w:rsid w:val="00DB7A8A"/>
    <w:rsid w:val="00DC0151"/>
    <w:rsid w:val="00DC0BFD"/>
    <w:rsid w:val="00DC13C5"/>
    <w:rsid w:val="00DC1733"/>
    <w:rsid w:val="00DC1998"/>
    <w:rsid w:val="00DC206B"/>
    <w:rsid w:val="00DC23C1"/>
    <w:rsid w:val="00DC2889"/>
    <w:rsid w:val="00DC2E6D"/>
    <w:rsid w:val="00DC431A"/>
    <w:rsid w:val="00DC4467"/>
    <w:rsid w:val="00DC4861"/>
    <w:rsid w:val="00DC516C"/>
    <w:rsid w:val="00DC6049"/>
    <w:rsid w:val="00DC68C1"/>
    <w:rsid w:val="00DC6DFD"/>
    <w:rsid w:val="00DC7462"/>
    <w:rsid w:val="00DC7CA4"/>
    <w:rsid w:val="00DC7CCE"/>
    <w:rsid w:val="00DD0024"/>
    <w:rsid w:val="00DD0044"/>
    <w:rsid w:val="00DD036C"/>
    <w:rsid w:val="00DD08E7"/>
    <w:rsid w:val="00DD0D44"/>
    <w:rsid w:val="00DD14E5"/>
    <w:rsid w:val="00DD2862"/>
    <w:rsid w:val="00DD2DF2"/>
    <w:rsid w:val="00DD2EE2"/>
    <w:rsid w:val="00DD3575"/>
    <w:rsid w:val="00DD359A"/>
    <w:rsid w:val="00DD38D5"/>
    <w:rsid w:val="00DD3930"/>
    <w:rsid w:val="00DD3FE6"/>
    <w:rsid w:val="00DD44EE"/>
    <w:rsid w:val="00DD466F"/>
    <w:rsid w:val="00DD4795"/>
    <w:rsid w:val="00DD49E8"/>
    <w:rsid w:val="00DD4C36"/>
    <w:rsid w:val="00DD4D8F"/>
    <w:rsid w:val="00DD54B8"/>
    <w:rsid w:val="00DD5597"/>
    <w:rsid w:val="00DD57BC"/>
    <w:rsid w:val="00DD5C71"/>
    <w:rsid w:val="00DD6957"/>
    <w:rsid w:val="00DD71E9"/>
    <w:rsid w:val="00DD7741"/>
    <w:rsid w:val="00DE00E9"/>
    <w:rsid w:val="00DE1533"/>
    <w:rsid w:val="00DE1819"/>
    <w:rsid w:val="00DE19EC"/>
    <w:rsid w:val="00DE2057"/>
    <w:rsid w:val="00DE2499"/>
    <w:rsid w:val="00DE2649"/>
    <w:rsid w:val="00DE281F"/>
    <w:rsid w:val="00DE2C9C"/>
    <w:rsid w:val="00DE30D7"/>
    <w:rsid w:val="00DE30E8"/>
    <w:rsid w:val="00DE32E5"/>
    <w:rsid w:val="00DE345B"/>
    <w:rsid w:val="00DE3D4C"/>
    <w:rsid w:val="00DE3F09"/>
    <w:rsid w:val="00DE4253"/>
    <w:rsid w:val="00DE4B35"/>
    <w:rsid w:val="00DE4F99"/>
    <w:rsid w:val="00DE5783"/>
    <w:rsid w:val="00DE5853"/>
    <w:rsid w:val="00DE661C"/>
    <w:rsid w:val="00DE6D09"/>
    <w:rsid w:val="00DE75D3"/>
    <w:rsid w:val="00DF1020"/>
    <w:rsid w:val="00DF132D"/>
    <w:rsid w:val="00DF165A"/>
    <w:rsid w:val="00DF1DE4"/>
    <w:rsid w:val="00DF28CD"/>
    <w:rsid w:val="00DF29D4"/>
    <w:rsid w:val="00DF2A6A"/>
    <w:rsid w:val="00DF2E5B"/>
    <w:rsid w:val="00DF2F23"/>
    <w:rsid w:val="00DF3331"/>
    <w:rsid w:val="00DF35EB"/>
    <w:rsid w:val="00DF3C61"/>
    <w:rsid w:val="00DF4E8B"/>
    <w:rsid w:val="00DF4FCA"/>
    <w:rsid w:val="00DF55D7"/>
    <w:rsid w:val="00DF58AC"/>
    <w:rsid w:val="00DF700D"/>
    <w:rsid w:val="00DF737B"/>
    <w:rsid w:val="00E005B2"/>
    <w:rsid w:val="00E00D19"/>
    <w:rsid w:val="00E00F8C"/>
    <w:rsid w:val="00E01128"/>
    <w:rsid w:val="00E01CB8"/>
    <w:rsid w:val="00E025AB"/>
    <w:rsid w:val="00E02A47"/>
    <w:rsid w:val="00E037E1"/>
    <w:rsid w:val="00E03CDC"/>
    <w:rsid w:val="00E04726"/>
    <w:rsid w:val="00E04B6B"/>
    <w:rsid w:val="00E04EBB"/>
    <w:rsid w:val="00E052EB"/>
    <w:rsid w:val="00E059A1"/>
    <w:rsid w:val="00E05B24"/>
    <w:rsid w:val="00E06991"/>
    <w:rsid w:val="00E0775D"/>
    <w:rsid w:val="00E07A80"/>
    <w:rsid w:val="00E07B05"/>
    <w:rsid w:val="00E07CC5"/>
    <w:rsid w:val="00E101C0"/>
    <w:rsid w:val="00E10389"/>
    <w:rsid w:val="00E10918"/>
    <w:rsid w:val="00E1232B"/>
    <w:rsid w:val="00E126B4"/>
    <w:rsid w:val="00E1288E"/>
    <w:rsid w:val="00E130FB"/>
    <w:rsid w:val="00E134DD"/>
    <w:rsid w:val="00E139B3"/>
    <w:rsid w:val="00E14B46"/>
    <w:rsid w:val="00E14D81"/>
    <w:rsid w:val="00E1506D"/>
    <w:rsid w:val="00E15110"/>
    <w:rsid w:val="00E15B78"/>
    <w:rsid w:val="00E15BEE"/>
    <w:rsid w:val="00E15CD0"/>
    <w:rsid w:val="00E1655B"/>
    <w:rsid w:val="00E17153"/>
    <w:rsid w:val="00E17D35"/>
    <w:rsid w:val="00E17D57"/>
    <w:rsid w:val="00E20735"/>
    <w:rsid w:val="00E20946"/>
    <w:rsid w:val="00E21948"/>
    <w:rsid w:val="00E21A05"/>
    <w:rsid w:val="00E21EDD"/>
    <w:rsid w:val="00E22385"/>
    <w:rsid w:val="00E2253C"/>
    <w:rsid w:val="00E229BE"/>
    <w:rsid w:val="00E237DF"/>
    <w:rsid w:val="00E23CC2"/>
    <w:rsid w:val="00E24D99"/>
    <w:rsid w:val="00E252F2"/>
    <w:rsid w:val="00E253D3"/>
    <w:rsid w:val="00E2589F"/>
    <w:rsid w:val="00E25CA3"/>
    <w:rsid w:val="00E262EF"/>
    <w:rsid w:val="00E268F3"/>
    <w:rsid w:val="00E26B72"/>
    <w:rsid w:val="00E27027"/>
    <w:rsid w:val="00E2702D"/>
    <w:rsid w:val="00E272DB"/>
    <w:rsid w:val="00E27E2B"/>
    <w:rsid w:val="00E30117"/>
    <w:rsid w:val="00E30472"/>
    <w:rsid w:val="00E304B2"/>
    <w:rsid w:val="00E309FF"/>
    <w:rsid w:val="00E310C2"/>
    <w:rsid w:val="00E31986"/>
    <w:rsid w:val="00E31ECD"/>
    <w:rsid w:val="00E31FFC"/>
    <w:rsid w:val="00E326D3"/>
    <w:rsid w:val="00E32BB9"/>
    <w:rsid w:val="00E32CDD"/>
    <w:rsid w:val="00E32E00"/>
    <w:rsid w:val="00E33516"/>
    <w:rsid w:val="00E3383C"/>
    <w:rsid w:val="00E342D0"/>
    <w:rsid w:val="00E3533F"/>
    <w:rsid w:val="00E37C2E"/>
    <w:rsid w:val="00E401F7"/>
    <w:rsid w:val="00E40313"/>
    <w:rsid w:val="00E409AC"/>
    <w:rsid w:val="00E40A9B"/>
    <w:rsid w:val="00E40F0A"/>
    <w:rsid w:val="00E41406"/>
    <w:rsid w:val="00E43061"/>
    <w:rsid w:val="00E432C8"/>
    <w:rsid w:val="00E43A0C"/>
    <w:rsid w:val="00E45673"/>
    <w:rsid w:val="00E461F2"/>
    <w:rsid w:val="00E46A35"/>
    <w:rsid w:val="00E47DD7"/>
    <w:rsid w:val="00E47E4C"/>
    <w:rsid w:val="00E47E5C"/>
    <w:rsid w:val="00E5077C"/>
    <w:rsid w:val="00E512FF"/>
    <w:rsid w:val="00E5160F"/>
    <w:rsid w:val="00E51AE3"/>
    <w:rsid w:val="00E51BDC"/>
    <w:rsid w:val="00E520AC"/>
    <w:rsid w:val="00E526E3"/>
    <w:rsid w:val="00E528FB"/>
    <w:rsid w:val="00E5302D"/>
    <w:rsid w:val="00E530D7"/>
    <w:rsid w:val="00E53673"/>
    <w:rsid w:val="00E53A55"/>
    <w:rsid w:val="00E53D54"/>
    <w:rsid w:val="00E53E51"/>
    <w:rsid w:val="00E53EE2"/>
    <w:rsid w:val="00E541C6"/>
    <w:rsid w:val="00E54690"/>
    <w:rsid w:val="00E54839"/>
    <w:rsid w:val="00E55343"/>
    <w:rsid w:val="00E5570E"/>
    <w:rsid w:val="00E558FF"/>
    <w:rsid w:val="00E55CF7"/>
    <w:rsid w:val="00E563D8"/>
    <w:rsid w:val="00E56EB9"/>
    <w:rsid w:val="00E576F2"/>
    <w:rsid w:val="00E57A47"/>
    <w:rsid w:val="00E57C7C"/>
    <w:rsid w:val="00E57D94"/>
    <w:rsid w:val="00E60775"/>
    <w:rsid w:val="00E60FB4"/>
    <w:rsid w:val="00E617B3"/>
    <w:rsid w:val="00E618F5"/>
    <w:rsid w:val="00E61CB7"/>
    <w:rsid w:val="00E62B90"/>
    <w:rsid w:val="00E6386E"/>
    <w:rsid w:val="00E63F04"/>
    <w:rsid w:val="00E64181"/>
    <w:rsid w:val="00E641EB"/>
    <w:rsid w:val="00E64830"/>
    <w:rsid w:val="00E64C1B"/>
    <w:rsid w:val="00E65BC5"/>
    <w:rsid w:val="00E6604F"/>
    <w:rsid w:val="00E664A9"/>
    <w:rsid w:val="00E66A3F"/>
    <w:rsid w:val="00E700E5"/>
    <w:rsid w:val="00E70575"/>
    <w:rsid w:val="00E70633"/>
    <w:rsid w:val="00E70768"/>
    <w:rsid w:val="00E70D99"/>
    <w:rsid w:val="00E716C2"/>
    <w:rsid w:val="00E7183D"/>
    <w:rsid w:val="00E72630"/>
    <w:rsid w:val="00E72F2F"/>
    <w:rsid w:val="00E736CB"/>
    <w:rsid w:val="00E7438A"/>
    <w:rsid w:val="00E755BD"/>
    <w:rsid w:val="00E7594A"/>
    <w:rsid w:val="00E76021"/>
    <w:rsid w:val="00E80120"/>
    <w:rsid w:val="00E801B6"/>
    <w:rsid w:val="00E801F2"/>
    <w:rsid w:val="00E803AD"/>
    <w:rsid w:val="00E8060F"/>
    <w:rsid w:val="00E80B5B"/>
    <w:rsid w:val="00E80C51"/>
    <w:rsid w:val="00E81036"/>
    <w:rsid w:val="00E8109D"/>
    <w:rsid w:val="00E81F18"/>
    <w:rsid w:val="00E82DF9"/>
    <w:rsid w:val="00E83048"/>
    <w:rsid w:val="00E83990"/>
    <w:rsid w:val="00E8477F"/>
    <w:rsid w:val="00E85109"/>
    <w:rsid w:val="00E85386"/>
    <w:rsid w:val="00E85C27"/>
    <w:rsid w:val="00E862CE"/>
    <w:rsid w:val="00E86342"/>
    <w:rsid w:val="00E86ED4"/>
    <w:rsid w:val="00E86FC9"/>
    <w:rsid w:val="00E87355"/>
    <w:rsid w:val="00E9032B"/>
    <w:rsid w:val="00E906C3"/>
    <w:rsid w:val="00E909D6"/>
    <w:rsid w:val="00E90E90"/>
    <w:rsid w:val="00E913AF"/>
    <w:rsid w:val="00E9145F"/>
    <w:rsid w:val="00E91FFE"/>
    <w:rsid w:val="00E92047"/>
    <w:rsid w:val="00E925F4"/>
    <w:rsid w:val="00E927F2"/>
    <w:rsid w:val="00E92BD5"/>
    <w:rsid w:val="00E92E63"/>
    <w:rsid w:val="00E93210"/>
    <w:rsid w:val="00E9437E"/>
    <w:rsid w:val="00E9451F"/>
    <w:rsid w:val="00E946A8"/>
    <w:rsid w:val="00E953F8"/>
    <w:rsid w:val="00E9724B"/>
    <w:rsid w:val="00E978AC"/>
    <w:rsid w:val="00E97A77"/>
    <w:rsid w:val="00EA0E3E"/>
    <w:rsid w:val="00EA18E8"/>
    <w:rsid w:val="00EA1967"/>
    <w:rsid w:val="00EA1D45"/>
    <w:rsid w:val="00EA1EE4"/>
    <w:rsid w:val="00EA35D5"/>
    <w:rsid w:val="00EA3E09"/>
    <w:rsid w:val="00EA505C"/>
    <w:rsid w:val="00EA565C"/>
    <w:rsid w:val="00EA5E2B"/>
    <w:rsid w:val="00EA6D4C"/>
    <w:rsid w:val="00EA739A"/>
    <w:rsid w:val="00EA7425"/>
    <w:rsid w:val="00EA79AE"/>
    <w:rsid w:val="00EA7CAB"/>
    <w:rsid w:val="00EB01C1"/>
    <w:rsid w:val="00EB0669"/>
    <w:rsid w:val="00EB0829"/>
    <w:rsid w:val="00EB0951"/>
    <w:rsid w:val="00EB0B46"/>
    <w:rsid w:val="00EB1525"/>
    <w:rsid w:val="00EB1D00"/>
    <w:rsid w:val="00EB27C0"/>
    <w:rsid w:val="00EB2FD0"/>
    <w:rsid w:val="00EB3352"/>
    <w:rsid w:val="00EB3637"/>
    <w:rsid w:val="00EB3EB9"/>
    <w:rsid w:val="00EB408C"/>
    <w:rsid w:val="00EB4692"/>
    <w:rsid w:val="00EB4699"/>
    <w:rsid w:val="00EB4B17"/>
    <w:rsid w:val="00EB4E2F"/>
    <w:rsid w:val="00EB5228"/>
    <w:rsid w:val="00EB64F5"/>
    <w:rsid w:val="00EB6727"/>
    <w:rsid w:val="00EB67BA"/>
    <w:rsid w:val="00EB6DD4"/>
    <w:rsid w:val="00EC0069"/>
    <w:rsid w:val="00EC109D"/>
    <w:rsid w:val="00EC19F3"/>
    <w:rsid w:val="00EC1B8E"/>
    <w:rsid w:val="00EC20C2"/>
    <w:rsid w:val="00EC219D"/>
    <w:rsid w:val="00EC24C0"/>
    <w:rsid w:val="00EC24CC"/>
    <w:rsid w:val="00EC288A"/>
    <w:rsid w:val="00EC29FC"/>
    <w:rsid w:val="00EC2B68"/>
    <w:rsid w:val="00EC2D01"/>
    <w:rsid w:val="00EC2D5C"/>
    <w:rsid w:val="00EC307B"/>
    <w:rsid w:val="00EC3F95"/>
    <w:rsid w:val="00EC466D"/>
    <w:rsid w:val="00EC4AF7"/>
    <w:rsid w:val="00EC5711"/>
    <w:rsid w:val="00EC5BAD"/>
    <w:rsid w:val="00EC6E19"/>
    <w:rsid w:val="00EC6F53"/>
    <w:rsid w:val="00EC74B0"/>
    <w:rsid w:val="00EC7A3F"/>
    <w:rsid w:val="00ED0183"/>
    <w:rsid w:val="00ED030B"/>
    <w:rsid w:val="00ED13F0"/>
    <w:rsid w:val="00ED16A4"/>
    <w:rsid w:val="00ED1A33"/>
    <w:rsid w:val="00ED1F7E"/>
    <w:rsid w:val="00ED214C"/>
    <w:rsid w:val="00ED251E"/>
    <w:rsid w:val="00ED34BA"/>
    <w:rsid w:val="00ED3517"/>
    <w:rsid w:val="00ED3A25"/>
    <w:rsid w:val="00ED404F"/>
    <w:rsid w:val="00ED443E"/>
    <w:rsid w:val="00ED44A2"/>
    <w:rsid w:val="00ED674E"/>
    <w:rsid w:val="00ED6C6A"/>
    <w:rsid w:val="00ED6DAF"/>
    <w:rsid w:val="00ED78F3"/>
    <w:rsid w:val="00EE043A"/>
    <w:rsid w:val="00EE0ACF"/>
    <w:rsid w:val="00EE18E9"/>
    <w:rsid w:val="00EE1CB1"/>
    <w:rsid w:val="00EE1DCE"/>
    <w:rsid w:val="00EE2735"/>
    <w:rsid w:val="00EE28F3"/>
    <w:rsid w:val="00EE2DB3"/>
    <w:rsid w:val="00EE3B25"/>
    <w:rsid w:val="00EE408A"/>
    <w:rsid w:val="00EE4206"/>
    <w:rsid w:val="00EE4347"/>
    <w:rsid w:val="00EE45C5"/>
    <w:rsid w:val="00EE46A6"/>
    <w:rsid w:val="00EE50E2"/>
    <w:rsid w:val="00EE5428"/>
    <w:rsid w:val="00EE5EEB"/>
    <w:rsid w:val="00EE5FAA"/>
    <w:rsid w:val="00EE65D0"/>
    <w:rsid w:val="00EE66BE"/>
    <w:rsid w:val="00EE6A9F"/>
    <w:rsid w:val="00EE7301"/>
    <w:rsid w:val="00EE7745"/>
    <w:rsid w:val="00EF0168"/>
    <w:rsid w:val="00EF0452"/>
    <w:rsid w:val="00EF126B"/>
    <w:rsid w:val="00EF1C8C"/>
    <w:rsid w:val="00EF1FC7"/>
    <w:rsid w:val="00EF3FB4"/>
    <w:rsid w:val="00EF45CA"/>
    <w:rsid w:val="00EF46CC"/>
    <w:rsid w:val="00EF4FF9"/>
    <w:rsid w:val="00EF5098"/>
    <w:rsid w:val="00EF549C"/>
    <w:rsid w:val="00EF59D8"/>
    <w:rsid w:val="00EF5AEB"/>
    <w:rsid w:val="00EF64C7"/>
    <w:rsid w:val="00EF7079"/>
    <w:rsid w:val="00EF7346"/>
    <w:rsid w:val="00EF74ED"/>
    <w:rsid w:val="00F01095"/>
    <w:rsid w:val="00F01FD8"/>
    <w:rsid w:val="00F0254F"/>
    <w:rsid w:val="00F02A25"/>
    <w:rsid w:val="00F02DC2"/>
    <w:rsid w:val="00F03A23"/>
    <w:rsid w:val="00F03DE0"/>
    <w:rsid w:val="00F03DF6"/>
    <w:rsid w:val="00F0411B"/>
    <w:rsid w:val="00F04FC8"/>
    <w:rsid w:val="00F050CE"/>
    <w:rsid w:val="00F067BE"/>
    <w:rsid w:val="00F06E1D"/>
    <w:rsid w:val="00F079B8"/>
    <w:rsid w:val="00F07EE1"/>
    <w:rsid w:val="00F1060D"/>
    <w:rsid w:val="00F1061F"/>
    <w:rsid w:val="00F10AC1"/>
    <w:rsid w:val="00F11231"/>
    <w:rsid w:val="00F113A0"/>
    <w:rsid w:val="00F11841"/>
    <w:rsid w:val="00F11A2E"/>
    <w:rsid w:val="00F11A76"/>
    <w:rsid w:val="00F12D18"/>
    <w:rsid w:val="00F12EBA"/>
    <w:rsid w:val="00F13148"/>
    <w:rsid w:val="00F134DF"/>
    <w:rsid w:val="00F156C1"/>
    <w:rsid w:val="00F15BB9"/>
    <w:rsid w:val="00F15D47"/>
    <w:rsid w:val="00F15F17"/>
    <w:rsid w:val="00F160EB"/>
    <w:rsid w:val="00F16E3D"/>
    <w:rsid w:val="00F177E0"/>
    <w:rsid w:val="00F17AE3"/>
    <w:rsid w:val="00F17EE3"/>
    <w:rsid w:val="00F2035D"/>
    <w:rsid w:val="00F208DD"/>
    <w:rsid w:val="00F209A3"/>
    <w:rsid w:val="00F20BE7"/>
    <w:rsid w:val="00F20DBB"/>
    <w:rsid w:val="00F2109D"/>
    <w:rsid w:val="00F21263"/>
    <w:rsid w:val="00F219DA"/>
    <w:rsid w:val="00F21B81"/>
    <w:rsid w:val="00F22303"/>
    <w:rsid w:val="00F22A27"/>
    <w:rsid w:val="00F22E51"/>
    <w:rsid w:val="00F23528"/>
    <w:rsid w:val="00F23C20"/>
    <w:rsid w:val="00F2422E"/>
    <w:rsid w:val="00F24261"/>
    <w:rsid w:val="00F2489E"/>
    <w:rsid w:val="00F24FAB"/>
    <w:rsid w:val="00F25DDE"/>
    <w:rsid w:val="00F261AC"/>
    <w:rsid w:val="00F26BBB"/>
    <w:rsid w:val="00F27B4D"/>
    <w:rsid w:val="00F302CF"/>
    <w:rsid w:val="00F30424"/>
    <w:rsid w:val="00F31800"/>
    <w:rsid w:val="00F318F5"/>
    <w:rsid w:val="00F31AE6"/>
    <w:rsid w:val="00F327B4"/>
    <w:rsid w:val="00F32F52"/>
    <w:rsid w:val="00F3374A"/>
    <w:rsid w:val="00F341A7"/>
    <w:rsid w:val="00F35584"/>
    <w:rsid w:val="00F35848"/>
    <w:rsid w:val="00F35F20"/>
    <w:rsid w:val="00F3613C"/>
    <w:rsid w:val="00F36674"/>
    <w:rsid w:val="00F369E5"/>
    <w:rsid w:val="00F36E86"/>
    <w:rsid w:val="00F3710D"/>
    <w:rsid w:val="00F378B4"/>
    <w:rsid w:val="00F37BD4"/>
    <w:rsid w:val="00F37D16"/>
    <w:rsid w:val="00F40320"/>
    <w:rsid w:val="00F40717"/>
    <w:rsid w:val="00F40B38"/>
    <w:rsid w:val="00F40D0E"/>
    <w:rsid w:val="00F41E27"/>
    <w:rsid w:val="00F42A0B"/>
    <w:rsid w:val="00F43849"/>
    <w:rsid w:val="00F43A1B"/>
    <w:rsid w:val="00F43D8A"/>
    <w:rsid w:val="00F446AF"/>
    <w:rsid w:val="00F44EB4"/>
    <w:rsid w:val="00F45831"/>
    <w:rsid w:val="00F45DAB"/>
    <w:rsid w:val="00F45F69"/>
    <w:rsid w:val="00F463EC"/>
    <w:rsid w:val="00F4737C"/>
    <w:rsid w:val="00F473B9"/>
    <w:rsid w:val="00F47A9D"/>
    <w:rsid w:val="00F47B04"/>
    <w:rsid w:val="00F47B47"/>
    <w:rsid w:val="00F50008"/>
    <w:rsid w:val="00F501DE"/>
    <w:rsid w:val="00F506D0"/>
    <w:rsid w:val="00F50BAA"/>
    <w:rsid w:val="00F51D02"/>
    <w:rsid w:val="00F51E9B"/>
    <w:rsid w:val="00F52137"/>
    <w:rsid w:val="00F5326B"/>
    <w:rsid w:val="00F537A3"/>
    <w:rsid w:val="00F53BD0"/>
    <w:rsid w:val="00F54402"/>
    <w:rsid w:val="00F54418"/>
    <w:rsid w:val="00F54E7A"/>
    <w:rsid w:val="00F54EA5"/>
    <w:rsid w:val="00F54FCF"/>
    <w:rsid w:val="00F5509B"/>
    <w:rsid w:val="00F55414"/>
    <w:rsid w:val="00F55933"/>
    <w:rsid w:val="00F55E9F"/>
    <w:rsid w:val="00F562A6"/>
    <w:rsid w:val="00F567F3"/>
    <w:rsid w:val="00F569AB"/>
    <w:rsid w:val="00F56B48"/>
    <w:rsid w:val="00F605BE"/>
    <w:rsid w:val="00F609DF"/>
    <w:rsid w:val="00F60AF2"/>
    <w:rsid w:val="00F60BFA"/>
    <w:rsid w:val="00F60C25"/>
    <w:rsid w:val="00F6156E"/>
    <w:rsid w:val="00F6176E"/>
    <w:rsid w:val="00F62C50"/>
    <w:rsid w:val="00F642FD"/>
    <w:rsid w:val="00F64E3A"/>
    <w:rsid w:val="00F64E5E"/>
    <w:rsid w:val="00F65A8B"/>
    <w:rsid w:val="00F6630C"/>
    <w:rsid w:val="00F6709A"/>
    <w:rsid w:val="00F670C5"/>
    <w:rsid w:val="00F675D5"/>
    <w:rsid w:val="00F6777C"/>
    <w:rsid w:val="00F702D5"/>
    <w:rsid w:val="00F707CE"/>
    <w:rsid w:val="00F70878"/>
    <w:rsid w:val="00F70C72"/>
    <w:rsid w:val="00F70CB4"/>
    <w:rsid w:val="00F70E37"/>
    <w:rsid w:val="00F7118D"/>
    <w:rsid w:val="00F715EB"/>
    <w:rsid w:val="00F72171"/>
    <w:rsid w:val="00F72242"/>
    <w:rsid w:val="00F72453"/>
    <w:rsid w:val="00F72928"/>
    <w:rsid w:val="00F733D6"/>
    <w:rsid w:val="00F73CE3"/>
    <w:rsid w:val="00F74684"/>
    <w:rsid w:val="00F74877"/>
    <w:rsid w:val="00F748DA"/>
    <w:rsid w:val="00F74D1D"/>
    <w:rsid w:val="00F74DAF"/>
    <w:rsid w:val="00F75DFE"/>
    <w:rsid w:val="00F763F4"/>
    <w:rsid w:val="00F800FD"/>
    <w:rsid w:val="00F811F8"/>
    <w:rsid w:val="00F81558"/>
    <w:rsid w:val="00F81B8C"/>
    <w:rsid w:val="00F81C8C"/>
    <w:rsid w:val="00F81DB5"/>
    <w:rsid w:val="00F81E49"/>
    <w:rsid w:val="00F821D4"/>
    <w:rsid w:val="00F82EFD"/>
    <w:rsid w:val="00F83A51"/>
    <w:rsid w:val="00F84422"/>
    <w:rsid w:val="00F844CD"/>
    <w:rsid w:val="00F84B50"/>
    <w:rsid w:val="00F86160"/>
    <w:rsid w:val="00F86336"/>
    <w:rsid w:val="00F86CDB"/>
    <w:rsid w:val="00F86EE5"/>
    <w:rsid w:val="00F86EFF"/>
    <w:rsid w:val="00F86F22"/>
    <w:rsid w:val="00F8714D"/>
    <w:rsid w:val="00F87934"/>
    <w:rsid w:val="00F87CBE"/>
    <w:rsid w:val="00F90638"/>
    <w:rsid w:val="00F907CB"/>
    <w:rsid w:val="00F90D3A"/>
    <w:rsid w:val="00F90F46"/>
    <w:rsid w:val="00F91894"/>
    <w:rsid w:val="00F91E52"/>
    <w:rsid w:val="00F9240D"/>
    <w:rsid w:val="00F92513"/>
    <w:rsid w:val="00F9304B"/>
    <w:rsid w:val="00F9313A"/>
    <w:rsid w:val="00F933F2"/>
    <w:rsid w:val="00F93E16"/>
    <w:rsid w:val="00F9508A"/>
    <w:rsid w:val="00F95B8F"/>
    <w:rsid w:val="00F95DDD"/>
    <w:rsid w:val="00F96427"/>
    <w:rsid w:val="00F973CD"/>
    <w:rsid w:val="00F9785C"/>
    <w:rsid w:val="00F97E17"/>
    <w:rsid w:val="00FA0449"/>
    <w:rsid w:val="00FA0584"/>
    <w:rsid w:val="00FA0EB0"/>
    <w:rsid w:val="00FA15B1"/>
    <w:rsid w:val="00FA1726"/>
    <w:rsid w:val="00FA20FC"/>
    <w:rsid w:val="00FA216D"/>
    <w:rsid w:val="00FA2218"/>
    <w:rsid w:val="00FA33B8"/>
    <w:rsid w:val="00FA4740"/>
    <w:rsid w:val="00FA4996"/>
    <w:rsid w:val="00FA4F13"/>
    <w:rsid w:val="00FA543B"/>
    <w:rsid w:val="00FA5507"/>
    <w:rsid w:val="00FA56CB"/>
    <w:rsid w:val="00FA5BAE"/>
    <w:rsid w:val="00FA684F"/>
    <w:rsid w:val="00FA693D"/>
    <w:rsid w:val="00FA6EF7"/>
    <w:rsid w:val="00FA75C2"/>
    <w:rsid w:val="00FB00B0"/>
    <w:rsid w:val="00FB03B0"/>
    <w:rsid w:val="00FB0561"/>
    <w:rsid w:val="00FB17F4"/>
    <w:rsid w:val="00FB22CF"/>
    <w:rsid w:val="00FB2DD4"/>
    <w:rsid w:val="00FB30E1"/>
    <w:rsid w:val="00FB3449"/>
    <w:rsid w:val="00FB3A17"/>
    <w:rsid w:val="00FB47B8"/>
    <w:rsid w:val="00FB4B97"/>
    <w:rsid w:val="00FB4B9B"/>
    <w:rsid w:val="00FB4C4C"/>
    <w:rsid w:val="00FB5236"/>
    <w:rsid w:val="00FB53BB"/>
    <w:rsid w:val="00FB5402"/>
    <w:rsid w:val="00FB5F36"/>
    <w:rsid w:val="00FB6D8F"/>
    <w:rsid w:val="00FB78FB"/>
    <w:rsid w:val="00FB7FF5"/>
    <w:rsid w:val="00FC0FE5"/>
    <w:rsid w:val="00FC1397"/>
    <w:rsid w:val="00FC1BF7"/>
    <w:rsid w:val="00FC2600"/>
    <w:rsid w:val="00FC2ED0"/>
    <w:rsid w:val="00FC4E6D"/>
    <w:rsid w:val="00FC4FC9"/>
    <w:rsid w:val="00FC5268"/>
    <w:rsid w:val="00FC5AFF"/>
    <w:rsid w:val="00FC5BE8"/>
    <w:rsid w:val="00FC686D"/>
    <w:rsid w:val="00FC7929"/>
    <w:rsid w:val="00FD01A0"/>
    <w:rsid w:val="00FD0447"/>
    <w:rsid w:val="00FD08A1"/>
    <w:rsid w:val="00FD0B7F"/>
    <w:rsid w:val="00FD110A"/>
    <w:rsid w:val="00FD127B"/>
    <w:rsid w:val="00FD1981"/>
    <w:rsid w:val="00FD1A3C"/>
    <w:rsid w:val="00FD1AA9"/>
    <w:rsid w:val="00FD2335"/>
    <w:rsid w:val="00FD2792"/>
    <w:rsid w:val="00FD291E"/>
    <w:rsid w:val="00FD2CEC"/>
    <w:rsid w:val="00FD3208"/>
    <w:rsid w:val="00FD3662"/>
    <w:rsid w:val="00FD3CB5"/>
    <w:rsid w:val="00FD4974"/>
    <w:rsid w:val="00FD49A2"/>
    <w:rsid w:val="00FD56F9"/>
    <w:rsid w:val="00FD68BE"/>
    <w:rsid w:val="00FD69A1"/>
    <w:rsid w:val="00FD6CC7"/>
    <w:rsid w:val="00FE05E3"/>
    <w:rsid w:val="00FE13F9"/>
    <w:rsid w:val="00FE1EA2"/>
    <w:rsid w:val="00FE26BF"/>
    <w:rsid w:val="00FE2954"/>
    <w:rsid w:val="00FE31FB"/>
    <w:rsid w:val="00FE3450"/>
    <w:rsid w:val="00FE3B76"/>
    <w:rsid w:val="00FE4318"/>
    <w:rsid w:val="00FE493A"/>
    <w:rsid w:val="00FE5D03"/>
    <w:rsid w:val="00FE620B"/>
    <w:rsid w:val="00FE69D1"/>
    <w:rsid w:val="00FE72F2"/>
    <w:rsid w:val="00FE75C1"/>
    <w:rsid w:val="00FE78F5"/>
    <w:rsid w:val="00FE7C97"/>
    <w:rsid w:val="00FE7DA7"/>
    <w:rsid w:val="00FE7F4C"/>
    <w:rsid w:val="00FF0298"/>
    <w:rsid w:val="00FF1A6E"/>
    <w:rsid w:val="00FF1C61"/>
    <w:rsid w:val="00FF4915"/>
    <w:rsid w:val="00FF4CE9"/>
    <w:rsid w:val="00FF4CEE"/>
    <w:rsid w:val="00FF5FCF"/>
    <w:rsid w:val="00FF64EA"/>
    <w:rsid w:val="00FF66CD"/>
    <w:rsid w:val="00FF78D0"/>
    <w:rsid w:val="00FF7A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5F20"/>
    <w:rPr>
      <w:lang w:val="en-GB"/>
    </w:rPr>
  </w:style>
  <w:style w:type="paragraph" w:styleId="Heading1">
    <w:name w:val="heading 1"/>
    <w:basedOn w:val="Normal"/>
    <w:next w:val="Normal"/>
    <w:link w:val="Heading1Char"/>
    <w:qFormat/>
    <w:rsid w:val="00FF64EA"/>
    <w:pPr>
      <w:keepNext/>
      <w:spacing w:before="240" w:after="60" w:line="240" w:lineRule="auto"/>
      <w:outlineLvl w:val="0"/>
    </w:pPr>
    <w:rPr>
      <w:rFonts w:ascii="Cambria" w:eastAsia="Times New Roman" w:hAnsi="Cambria" w:cs="Times New Roman"/>
      <w:b/>
      <w:bCs/>
      <w:kern w:val="32"/>
      <w:sz w:val="32"/>
      <w:szCs w:val="32"/>
      <w:lang w:val="en-US"/>
    </w:rPr>
  </w:style>
  <w:style w:type="paragraph" w:styleId="Heading2">
    <w:name w:val="heading 2"/>
    <w:basedOn w:val="Normal"/>
    <w:next w:val="Normal"/>
    <w:link w:val="Heading2Char"/>
    <w:qFormat/>
    <w:rsid w:val="00FF64EA"/>
    <w:pPr>
      <w:keepNext/>
      <w:spacing w:before="240" w:after="60" w:line="240" w:lineRule="auto"/>
      <w:outlineLvl w:val="1"/>
    </w:pPr>
    <w:rPr>
      <w:rFonts w:ascii="Arial" w:eastAsia="Times New Roman" w:hAnsi="Arial" w:cs="Arial"/>
      <w:b/>
      <w:bCs/>
      <w:i/>
      <w:iCs/>
      <w:sz w:val="28"/>
      <w:szCs w:val="28"/>
      <w:lang w:val="en-US"/>
    </w:rPr>
  </w:style>
  <w:style w:type="paragraph" w:styleId="Heading3">
    <w:name w:val="heading 3"/>
    <w:basedOn w:val="Normal"/>
    <w:next w:val="Normal"/>
    <w:link w:val="Heading3Char"/>
    <w:uiPriority w:val="9"/>
    <w:semiHidden/>
    <w:unhideWhenUsed/>
    <w:qFormat/>
    <w:rsid w:val="0045620F"/>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F64EA"/>
    <w:rPr>
      <w:rFonts w:ascii="Cambria" w:eastAsia="Times New Roman" w:hAnsi="Cambria" w:cs="Times New Roman"/>
      <w:b/>
      <w:bCs/>
      <w:kern w:val="32"/>
      <w:sz w:val="32"/>
      <w:szCs w:val="32"/>
    </w:rPr>
  </w:style>
  <w:style w:type="character" w:customStyle="1" w:styleId="Heading2Char">
    <w:name w:val="Heading 2 Char"/>
    <w:basedOn w:val="DefaultParagraphFont"/>
    <w:link w:val="Heading2"/>
    <w:rsid w:val="00FF64EA"/>
    <w:rPr>
      <w:rFonts w:ascii="Arial" w:eastAsia="Times New Roman" w:hAnsi="Arial" w:cs="Arial"/>
      <w:b/>
      <w:bCs/>
      <w:i/>
      <w:iCs/>
      <w:sz w:val="28"/>
      <w:szCs w:val="28"/>
    </w:rPr>
  </w:style>
  <w:style w:type="table" w:styleId="TableGrid">
    <w:name w:val="Table Grid"/>
    <w:basedOn w:val="TableNormal"/>
    <w:uiPriority w:val="59"/>
    <w:rsid w:val="00AA1A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432958"/>
    <w:pPr>
      <w:spacing w:before="100" w:beforeAutospacing="1" w:after="100" w:afterAutospacing="1" w:line="240" w:lineRule="auto"/>
    </w:pPr>
    <w:rPr>
      <w:rFonts w:ascii="Times New Roman" w:eastAsiaTheme="minorEastAsia" w:hAnsi="Times New Roman" w:cs="Times New Roman"/>
      <w:sz w:val="24"/>
      <w:szCs w:val="24"/>
      <w:lang w:eastAsia="en-GB"/>
    </w:rPr>
  </w:style>
  <w:style w:type="paragraph" w:styleId="BalloonText">
    <w:name w:val="Balloon Text"/>
    <w:basedOn w:val="Normal"/>
    <w:link w:val="BalloonTextChar"/>
    <w:uiPriority w:val="99"/>
    <w:semiHidden/>
    <w:unhideWhenUsed/>
    <w:rsid w:val="002B21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21AE"/>
    <w:rPr>
      <w:rFonts w:ascii="Tahoma" w:hAnsi="Tahoma" w:cs="Tahoma"/>
      <w:sz w:val="16"/>
      <w:szCs w:val="16"/>
      <w:lang w:val="en-GB"/>
    </w:rPr>
  </w:style>
  <w:style w:type="paragraph" w:styleId="Header">
    <w:name w:val="header"/>
    <w:basedOn w:val="Normal"/>
    <w:link w:val="HeaderChar"/>
    <w:unhideWhenUsed/>
    <w:rsid w:val="00C47609"/>
    <w:pPr>
      <w:tabs>
        <w:tab w:val="center" w:pos="4513"/>
        <w:tab w:val="right" w:pos="9026"/>
      </w:tabs>
      <w:spacing w:after="0" w:line="240" w:lineRule="auto"/>
    </w:pPr>
  </w:style>
  <w:style w:type="character" w:customStyle="1" w:styleId="HeaderChar">
    <w:name w:val="Header Char"/>
    <w:basedOn w:val="DefaultParagraphFont"/>
    <w:link w:val="Header"/>
    <w:uiPriority w:val="99"/>
    <w:rsid w:val="00C47609"/>
    <w:rPr>
      <w:lang w:val="en-GB"/>
    </w:rPr>
  </w:style>
  <w:style w:type="paragraph" w:styleId="Footer">
    <w:name w:val="footer"/>
    <w:basedOn w:val="Normal"/>
    <w:link w:val="FooterChar"/>
    <w:uiPriority w:val="99"/>
    <w:unhideWhenUsed/>
    <w:rsid w:val="00C47609"/>
    <w:pPr>
      <w:tabs>
        <w:tab w:val="center" w:pos="4513"/>
        <w:tab w:val="right" w:pos="9026"/>
      </w:tabs>
      <w:spacing w:after="0" w:line="240" w:lineRule="auto"/>
    </w:pPr>
  </w:style>
  <w:style w:type="character" w:customStyle="1" w:styleId="FooterChar">
    <w:name w:val="Footer Char"/>
    <w:basedOn w:val="DefaultParagraphFont"/>
    <w:link w:val="Footer"/>
    <w:uiPriority w:val="99"/>
    <w:rsid w:val="00C47609"/>
    <w:rPr>
      <w:lang w:val="en-GB"/>
    </w:rPr>
  </w:style>
  <w:style w:type="paragraph" w:styleId="ListParagraph">
    <w:name w:val="List Paragraph"/>
    <w:basedOn w:val="Normal"/>
    <w:uiPriority w:val="34"/>
    <w:qFormat/>
    <w:rsid w:val="0024418A"/>
    <w:pPr>
      <w:ind w:left="720"/>
      <w:contextualSpacing/>
    </w:pPr>
  </w:style>
  <w:style w:type="character" w:styleId="CommentReference">
    <w:name w:val="annotation reference"/>
    <w:basedOn w:val="DefaultParagraphFont"/>
    <w:uiPriority w:val="99"/>
    <w:semiHidden/>
    <w:unhideWhenUsed/>
    <w:rsid w:val="00C36FAE"/>
    <w:rPr>
      <w:sz w:val="16"/>
      <w:szCs w:val="16"/>
    </w:rPr>
  </w:style>
  <w:style w:type="paragraph" w:styleId="CommentText">
    <w:name w:val="annotation text"/>
    <w:basedOn w:val="Normal"/>
    <w:link w:val="CommentTextChar"/>
    <w:uiPriority w:val="99"/>
    <w:semiHidden/>
    <w:unhideWhenUsed/>
    <w:rsid w:val="00C36FAE"/>
    <w:pPr>
      <w:spacing w:line="240" w:lineRule="auto"/>
    </w:pPr>
    <w:rPr>
      <w:sz w:val="20"/>
      <w:szCs w:val="20"/>
    </w:rPr>
  </w:style>
  <w:style w:type="character" w:customStyle="1" w:styleId="CommentTextChar">
    <w:name w:val="Comment Text Char"/>
    <w:basedOn w:val="DefaultParagraphFont"/>
    <w:link w:val="CommentText"/>
    <w:uiPriority w:val="99"/>
    <w:semiHidden/>
    <w:rsid w:val="00C36FAE"/>
    <w:rPr>
      <w:sz w:val="20"/>
      <w:szCs w:val="20"/>
      <w:lang w:val="en-GB"/>
    </w:rPr>
  </w:style>
  <w:style w:type="paragraph" w:styleId="CommentSubject">
    <w:name w:val="annotation subject"/>
    <w:basedOn w:val="CommentText"/>
    <w:next w:val="CommentText"/>
    <w:link w:val="CommentSubjectChar"/>
    <w:uiPriority w:val="99"/>
    <w:semiHidden/>
    <w:unhideWhenUsed/>
    <w:rsid w:val="00C36FAE"/>
    <w:rPr>
      <w:b/>
      <w:bCs/>
    </w:rPr>
  </w:style>
  <w:style w:type="character" w:customStyle="1" w:styleId="CommentSubjectChar">
    <w:name w:val="Comment Subject Char"/>
    <w:basedOn w:val="CommentTextChar"/>
    <w:link w:val="CommentSubject"/>
    <w:uiPriority w:val="99"/>
    <w:semiHidden/>
    <w:rsid w:val="00C36FAE"/>
    <w:rPr>
      <w:b/>
      <w:bCs/>
      <w:sz w:val="20"/>
      <w:szCs w:val="20"/>
      <w:lang w:val="en-GB"/>
    </w:rPr>
  </w:style>
  <w:style w:type="paragraph" w:styleId="NoSpacing">
    <w:name w:val="No Spacing"/>
    <w:uiPriority w:val="1"/>
    <w:qFormat/>
    <w:rsid w:val="0090174B"/>
    <w:pPr>
      <w:spacing w:after="0" w:line="240" w:lineRule="auto"/>
    </w:pPr>
    <w:rPr>
      <w:lang w:val="en-GB"/>
    </w:rPr>
  </w:style>
  <w:style w:type="paragraph" w:customStyle="1" w:styleId="Default">
    <w:name w:val="Default"/>
    <w:rsid w:val="008E343C"/>
    <w:pPr>
      <w:autoSpaceDE w:val="0"/>
      <w:autoSpaceDN w:val="0"/>
      <w:adjustRightInd w:val="0"/>
      <w:spacing w:after="0" w:line="240" w:lineRule="auto"/>
    </w:pPr>
    <w:rPr>
      <w:rFonts w:ascii="Arial" w:hAnsi="Arial" w:cs="Arial"/>
      <w:color w:val="000000"/>
      <w:sz w:val="24"/>
      <w:szCs w:val="24"/>
      <w:lang w:val="en-GB"/>
    </w:rPr>
  </w:style>
  <w:style w:type="paragraph" w:styleId="TOC1">
    <w:name w:val="toc 1"/>
    <w:basedOn w:val="Normal"/>
    <w:next w:val="Normal"/>
    <w:autoRedefine/>
    <w:uiPriority w:val="39"/>
    <w:rsid w:val="005D7AF8"/>
    <w:pPr>
      <w:tabs>
        <w:tab w:val="right" w:leader="dot" w:pos="9350"/>
      </w:tabs>
      <w:spacing w:after="0" w:line="240" w:lineRule="auto"/>
    </w:pPr>
    <w:rPr>
      <w:rFonts w:eastAsia="Times New Roman" w:cstheme="minorHAnsi"/>
      <w:noProof/>
      <w:sz w:val="24"/>
      <w:szCs w:val="24"/>
      <w:lang w:val="en-US"/>
    </w:rPr>
  </w:style>
  <w:style w:type="character" w:styleId="Hyperlink">
    <w:name w:val="Hyperlink"/>
    <w:uiPriority w:val="99"/>
    <w:unhideWhenUsed/>
    <w:rsid w:val="00FF64EA"/>
    <w:rPr>
      <w:color w:val="0000FF"/>
      <w:u w:val="single"/>
    </w:rPr>
  </w:style>
  <w:style w:type="paragraph" w:styleId="TOC2">
    <w:name w:val="toc 2"/>
    <w:basedOn w:val="Normal"/>
    <w:next w:val="Normal"/>
    <w:autoRedefine/>
    <w:uiPriority w:val="39"/>
    <w:rsid w:val="00DC68C1"/>
    <w:pPr>
      <w:tabs>
        <w:tab w:val="right" w:leader="dot" w:pos="9350"/>
      </w:tabs>
      <w:spacing w:after="0" w:line="240" w:lineRule="auto"/>
      <w:ind w:left="240"/>
    </w:pPr>
    <w:rPr>
      <w:rFonts w:eastAsia="Times New Roman" w:cstheme="minorHAnsi"/>
      <w:noProof/>
      <w:sz w:val="24"/>
      <w:szCs w:val="24"/>
      <w:lang w:val="en-US"/>
    </w:rPr>
  </w:style>
  <w:style w:type="character" w:styleId="Strong">
    <w:name w:val="Strong"/>
    <w:qFormat/>
    <w:rsid w:val="00FF64EA"/>
    <w:rPr>
      <w:b/>
      <w:bCs/>
    </w:rPr>
  </w:style>
  <w:style w:type="table" w:customStyle="1" w:styleId="TableGrid1">
    <w:name w:val="Table Grid1"/>
    <w:basedOn w:val="TableNormal"/>
    <w:next w:val="TableGrid"/>
    <w:uiPriority w:val="59"/>
    <w:rsid w:val="00E21EDD"/>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F763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rsid w:val="000C5B85"/>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rsid w:val="002073D1"/>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AE603B"/>
    <w:pPr>
      <w:spacing w:after="0" w:line="240" w:lineRule="auto"/>
    </w:pPr>
    <w:rPr>
      <w:lang w:val="en-GB"/>
    </w:rPr>
  </w:style>
  <w:style w:type="table" w:customStyle="1" w:styleId="TableGrid13">
    <w:name w:val="Table Grid13"/>
    <w:basedOn w:val="TableNormal"/>
    <w:next w:val="TableGrid"/>
    <w:rsid w:val="00B93AC0"/>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667E08"/>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667E08"/>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rsid w:val="00420781"/>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7627BE"/>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B6451B"/>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rsid w:val="00B84EF4"/>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rsid w:val="00640257"/>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rsid w:val="00027F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rsid w:val="00C258F7"/>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rsid w:val="002B7E8C"/>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rsid w:val="007536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rsid w:val="00855445"/>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rsid w:val="00C16345"/>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rsid w:val="00BE2E0C"/>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394E4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59"/>
    <w:rsid w:val="00A43324"/>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
    <w:name w:val="Table Grid25"/>
    <w:basedOn w:val="TableNormal"/>
    <w:next w:val="TableGrid"/>
    <w:rsid w:val="00F96427"/>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rsid w:val="0067741A"/>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uiPriority w:val="59"/>
    <w:rsid w:val="00750EBC"/>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0">
    <w:name w:val="Table Grid110"/>
    <w:basedOn w:val="TableNormal"/>
    <w:next w:val="TableGrid"/>
    <w:rsid w:val="00673437"/>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6">
    <w:name w:val="Table Grid26"/>
    <w:basedOn w:val="TableNormal"/>
    <w:next w:val="TableGrid"/>
    <w:rsid w:val="004478FD"/>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rsid w:val="004478FD"/>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7">
    <w:name w:val="Table Grid27"/>
    <w:basedOn w:val="TableNormal"/>
    <w:rsid w:val="002C34C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8">
    <w:name w:val="Table Grid28"/>
    <w:basedOn w:val="TableNormal"/>
    <w:rsid w:val="002C34C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9">
    <w:name w:val="Table Grid29"/>
    <w:basedOn w:val="TableNormal"/>
    <w:next w:val="TableGrid"/>
    <w:uiPriority w:val="59"/>
    <w:rsid w:val="00DF29D4"/>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0">
    <w:name w:val="Table Grid30"/>
    <w:basedOn w:val="TableNormal"/>
    <w:next w:val="TableGrid"/>
    <w:uiPriority w:val="59"/>
    <w:rsid w:val="008A176F"/>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9D44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semiHidden/>
    <w:rsid w:val="0045620F"/>
    <w:rPr>
      <w:rFonts w:asciiTheme="majorHAnsi" w:eastAsiaTheme="majorEastAsia" w:hAnsiTheme="majorHAnsi" w:cstheme="majorBidi"/>
      <w:b/>
      <w:bCs/>
      <w:color w:val="4F81BD" w:themeColor="accent1"/>
      <w:lang w:val="en-GB"/>
    </w:rPr>
  </w:style>
  <w:style w:type="table" w:customStyle="1" w:styleId="TableGrid32">
    <w:name w:val="Table Grid32"/>
    <w:basedOn w:val="TableNormal"/>
    <w:next w:val="TableGrid"/>
    <w:uiPriority w:val="59"/>
    <w:rsid w:val="004A5CE6"/>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00401B"/>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EB01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3">
    <w:name w:val="Light Shading Accent 3"/>
    <w:basedOn w:val="TableNormal"/>
    <w:uiPriority w:val="60"/>
    <w:rsid w:val="002C043F"/>
    <w:pPr>
      <w:spacing w:after="0" w:line="240" w:lineRule="auto"/>
    </w:pPr>
    <w:rPr>
      <w:color w:val="76923C" w:themeColor="accent3" w:themeShade="BF"/>
      <w:lang w:val="en-GB"/>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Caption">
    <w:name w:val="caption"/>
    <w:basedOn w:val="Normal"/>
    <w:next w:val="Normal"/>
    <w:uiPriority w:val="35"/>
    <w:unhideWhenUsed/>
    <w:qFormat/>
    <w:rsid w:val="00E9032B"/>
    <w:pPr>
      <w:spacing w:line="240" w:lineRule="auto"/>
    </w:pPr>
    <w:rPr>
      <w:b/>
      <w:bCs/>
      <w:color w:val="4F81BD" w:themeColor="accent1"/>
      <w:sz w:val="18"/>
      <w:szCs w:val="18"/>
    </w:rPr>
  </w:style>
  <w:style w:type="paragraph" w:styleId="BodyText">
    <w:name w:val="Body Text"/>
    <w:basedOn w:val="Normal"/>
    <w:link w:val="BodyTextChar"/>
    <w:uiPriority w:val="1"/>
    <w:unhideWhenUsed/>
    <w:rsid w:val="009C3B5C"/>
    <w:pPr>
      <w:autoSpaceDE w:val="0"/>
      <w:autoSpaceDN w:val="0"/>
      <w:spacing w:after="0" w:line="240" w:lineRule="auto"/>
    </w:pPr>
    <w:rPr>
      <w:rFonts w:ascii="Arial" w:hAnsi="Arial" w:cs="Arial"/>
      <w:sz w:val="24"/>
      <w:szCs w:val="24"/>
    </w:rPr>
  </w:style>
  <w:style w:type="character" w:customStyle="1" w:styleId="BodyTextChar">
    <w:name w:val="Body Text Char"/>
    <w:basedOn w:val="DefaultParagraphFont"/>
    <w:link w:val="BodyText"/>
    <w:uiPriority w:val="1"/>
    <w:rsid w:val="009C3B5C"/>
    <w:rPr>
      <w:rFonts w:ascii="Arial" w:hAnsi="Arial" w:cs="Arial"/>
      <w:sz w:val="24"/>
      <w:szCs w:val="24"/>
      <w:lang w:val="en-GB"/>
    </w:rPr>
  </w:style>
  <w:style w:type="paragraph" w:styleId="Title">
    <w:name w:val="Title"/>
    <w:basedOn w:val="Normal"/>
    <w:next w:val="Normal"/>
    <w:link w:val="TitleChar"/>
    <w:uiPriority w:val="10"/>
    <w:qFormat/>
    <w:rsid w:val="004D4FE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D4FEE"/>
    <w:rPr>
      <w:rFonts w:asciiTheme="majorHAnsi" w:eastAsiaTheme="majorEastAsia" w:hAnsiTheme="majorHAnsi" w:cstheme="majorBidi"/>
      <w:color w:val="17365D" w:themeColor="text2" w:themeShade="BF"/>
      <w:spacing w:val="5"/>
      <w:kern w:val="28"/>
      <w:sz w:val="52"/>
      <w:szCs w:val="52"/>
      <w:lang w:val="en-GB"/>
    </w:rPr>
  </w:style>
  <w:style w:type="table" w:customStyle="1" w:styleId="TableGrid35">
    <w:name w:val="Table Grid35"/>
    <w:basedOn w:val="TableNormal"/>
    <w:next w:val="TableGrid"/>
    <w:uiPriority w:val="59"/>
    <w:rsid w:val="006A4DB6"/>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59"/>
    <w:rsid w:val="00A7587B"/>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uiPriority w:val="59"/>
    <w:rsid w:val="005E3941"/>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8">
    <w:name w:val="Table Grid38"/>
    <w:basedOn w:val="TableNormal"/>
    <w:next w:val="TableGrid"/>
    <w:uiPriority w:val="59"/>
    <w:rsid w:val="00AC7BB5"/>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9">
    <w:name w:val="Table Grid39"/>
    <w:basedOn w:val="TableNormal"/>
    <w:next w:val="TableGrid"/>
    <w:uiPriority w:val="59"/>
    <w:rsid w:val="00AC7BB5"/>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0">
    <w:name w:val="Table Grid40"/>
    <w:basedOn w:val="TableNormal"/>
    <w:next w:val="TableGrid"/>
    <w:uiPriority w:val="59"/>
    <w:rsid w:val="00095B52"/>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095B52"/>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123998"/>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5F20"/>
    <w:rPr>
      <w:lang w:val="en-GB"/>
    </w:rPr>
  </w:style>
  <w:style w:type="paragraph" w:styleId="Heading1">
    <w:name w:val="heading 1"/>
    <w:basedOn w:val="Normal"/>
    <w:next w:val="Normal"/>
    <w:link w:val="Heading1Char"/>
    <w:qFormat/>
    <w:rsid w:val="00FF64EA"/>
    <w:pPr>
      <w:keepNext/>
      <w:spacing w:before="240" w:after="60" w:line="240" w:lineRule="auto"/>
      <w:outlineLvl w:val="0"/>
    </w:pPr>
    <w:rPr>
      <w:rFonts w:ascii="Cambria" w:eastAsia="Times New Roman" w:hAnsi="Cambria" w:cs="Times New Roman"/>
      <w:b/>
      <w:bCs/>
      <w:kern w:val="32"/>
      <w:sz w:val="32"/>
      <w:szCs w:val="32"/>
      <w:lang w:val="en-US"/>
    </w:rPr>
  </w:style>
  <w:style w:type="paragraph" w:styleId="Heading2">
    <w:name w:val="heading 2"/>
    <w:basedOn w:val="Normal"/>
    <w:next w:val="Normal"/>
    <w:link w:val="Heading2Char"/>
    <w:qFormat/>
    <w:rsid w:val="00FF64EA"/>
    <w:pPr>
      <w:keepNext/>
      <w:spacing w:before="240" w:after="60" w:line="240" w:lineRule="auto"/>
      <w:outlineLvl w:val="1"/>
    </w:pPr>
    <w:rPr>
      <w:rFonts w:ascii="Arial" w:eastAsia="Times New Roman" w:hAnsi="Arial" w:cs="Arial"/>
      <w:b/>
      <w:bCs/>
      <w:i/>
      <w:iCs/>
      <w:sz w:val="28"/>
      <w:szCs w:val="28"/>
      <w:lang w:val="en-US"/>
    </w:rPr>
  </w:style>
  <w:style w:type="paragraph" w:styleId="Heading3">
    <w:name w:val="heading 3"/>
    <w:basedOn w:val="Normal"/>
    <w:next w:val="Normal"/>
    <w:link w:val="Heading3Char"/>
    <w:uiPriority w:val="9"/>
    <w:semiHidden/>
    <w:unhideWhenUsed/>
    <w:qFormat/>
    <w:rsid w:val="0045620F"/>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F64EA"/>
    <w:rPr>
      <w:rFonts w:ascii="Cambria" w:eastAsia="Times New Roman" w:hAnsi="Cambria" w:cs="Times New Roman"/>
      <w:b/>
      <w:bCs/>
      <w:kern w:val="32"/>
      <w:sz w:val="32"/>
      <w:szCs w:val="32"/>
    </w:rPr>
  </w:style>
  <w:style w:type="character" w:customStyle="1" w:styleId="Heading2Char">
    <w:name w:val="Heading 2 Char"/>
    <w:basedOn w:val="DefaultParagraphFont"/>
    <w:link w:val="Heading2"/>
    <w:rsid w:val="00FF64EA"/>
    <w:rPr>
      <w:rFonts w:ascii="Arial" w:eastAsia="Times New Roman" w:hAnsi="Arial" w:cs="Arial"/>
      <w:b/>
      <w:bCs/>
      <w:i/>
      <w:iCs/>
      <w:sz w:val="28"/>
      <w:szCs w:val="28"/>
    </w:rPr>
  </w:style>
  <w:style w:type="table" w:styleId="TableGrid">
    <w:name w:val="Table Grid"/>
    <w:basedOn w:val="TableNormal"/>
    <w:uiPriority w:val="59"/>
    <w:rsid w:val="00AA1A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432958"/>
    <w:pPr>
      <w:spacing w:before="100" w:beforeAutospacing="1" w:after="100" w:afterAutospacing="1" w:line="240" w:lineRule="auto"/>
    </w:pPr>
    <w:rPr>
      <w:rFonts w:ascii="Times New Roman" w:eastAsiaTheme="minorEastAsia" w:hAnsi="Times New Roman" w:cs="Times New Roman"/>
      <w:sz w:val="24"/>
      <w:szCs w:val="24"/>
      <w:lang w:eastAsia="en-GB"/>
    </w:rPr>
  </w:style>
  <w:style w:type="paragraph" w:styleId="BalloonText">
    <w:name w:val="Balloon Text"/>
    <w:basedOn w:val="Normal"/>
    <w:link w:val="BalloonTextChar"/>
    <w:uiPriority w:val="99"/>
    <w:semiHidden/>
    <w:unhideWhenUsed/>
    <w:rsid w:val="002B21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21AE"/>
    <w:rPr>
      <w:rFonts w:ascii="Tahoma" w:hAnsi="Tahoma" w:cs="Tahoma"/>
      <w:sz w:val="16"/>
      <w:szCs w:val="16"/>
      <w:lang w:val="en-GB"/>
    </w:rPr>
  </w:style>
  <w:style w:type="paragraph" w:styleId="Header">
    <w:name w:val="header"/>
    <w:basedOn w:val="Normal"/>
    <w:link w:val="HeaderChar"/>
    <w:unhideWhenUsed/>
    <w:rsid w:val="00C47609"/>
    <w:pPr>
      <w:tabs>
        <w:tab w:val="center" w:pos="4513"/>
        <w:tab w:val="right" w:pos="9026"/>
      </w:tabs>
      <w:spacing w:after="0" w:line="240" w:lineRule="auto"/>
    </w:pPr>
  </w:style>
  <w:style w:type="character" w:customStyle="1" w:styleId="HeaderChar">
    <w:name w:val="Header Char"/>
    <w:basedOn w:val="DefaultParagraphFont"/>
    <w:link w:val="Header"/>
    <w:uiPriority w:val="99"/>
    <w:rsid w:val="00C47609"/>
    <w:rPr>
      <w:lang w:val="en-GB"/>
    </w:rPr>
  </w:style>
  <w:style w:type="paragraph" w:styleId="Footer">
    <w:name w:val="footer"/>
    <w:basedOn w:val="Normal"/>
    <w:link w:val="FooterChar"/>
    <w:uiPriority w:val="99"/>
    <w:unhideWhenUsed/>
    <w:rsid w:val="00C47609"/>
    <w:pPr>
      <w:tabs>
        <w:tab w:val="center" w:pos="4513"/>
        <w:tab w:val="right" w:pos="9026"/>
      </w:tabs>
      <w:spacing w:after="0" w:line="240" w:lineRule="auto"/>
    </w:pPr>
  </w:style>
  <w:style w:type="character" w:customStyle="1" w:styleId="FooterChar">
    <w:name w:val="Footer Char"/>
    <w:basedOn w:val="DefaultParagraphFont"/>
    <w:link w:val="Footer"/>
    <w:uiPriority w:val="99"/>
    <w:rsid w:val="00C47609"/>
    <w:rPr>
      <w:lang w:val="en-GB"/>
    </w:rPr>
  </w:style>
  <w:style w:type="paragraph" w:styleId="ListParagraph">
    <w:name w:val="List Paragraph"/>
    <w:basedOn w:val="Normal"/>
    <w:uiPriority w:val="34"/>
    <w:qFormat/>
    <w:rsid w:val="0024418A"/>
    <w:pPr>
      <w:ind w:left="720"/>
      <w:contextualSpacing/>
    </w:pPr>
  </w:style>
  <w:style w:type="character" w:styleId="CommentReference">
    <w:name w:val="annotation reference"/>
    <w:basedOn w:val="DefaultParagraphFont"/>
    <w:uiPriority w:val="99"/>
    <w:semiHidden/>
    <w:unhideWhenUsed/>
    <w:rsid w:val="00C36FAE"/>
    <w:rPr>
      <w:sz w:val="16"/>
      <w:szCs w:val="16"/>
    </w:rPr>
  </w:style>
  <w:style w:type="paragraph" w:styleId="CommentText">
    <w:name w:val="annotation text"/>
    <w:basedOn w:val="Normal"/>
    <w:link w:val="CommentTextChar"/>
    <w:uiPriority w:val="99"/>
    <w:semiHidden/>
    <w:unhideWhenUsed/>
    <w:rsid w:val="00C36FAE"/>
    <w:pPr>
      <w:spacing w:line="240" w:lineRule="auto"/>
    </w:pPr>
    <w:rPr>
      <w:sz w:val="20"/>
      <w:szCs w:val="20"/>
    </w:rPr>
  </w:style>
  <w:style w:type="character" w:customStyle="1" w:styleId="CommentTextChar">
    <w:name w:val="Comment Text Char"/>
    <w:basedOn w:val="DefaultParagraphFont"/>
    <w:link w:val="CommentText"/>
    <w:uiPriority w:val="99"/>
    <w:semiHidden/>
    <w:rsid w:val="00C36FAE"/>
    <w:rPr>
      <w:sz w:val="20"/>
      <w:szCs w:val="20"/>
      <w:lang w:val="en-GB"/>
    </w:rPr>
  </w:style>
  <w:style w:type="paragraph" w:styleId="CommentSubject">
    <w:name w:val="annotation subject"/>
    <w:basedOn w:val="CommentText"/>
    <w:next w:val="CommentText"/>
    <w:link w:val="CommentSubjectChar"/>
    <w:uiPriority w:val="99"/>
    <w:semiHidden/>
    <w:unhideWhenUsed/>
    <w:rsid w:val="00C36FAE"/>
    <w:rPr>
      <w:b/>
      <w:bCs/>
    </w:rPr>
  </w:style>
  <w:style w:type="character" w:customStyle="1" w:styleId="CommentSubjectChar">
    <w:name w:val="Comment Subject Char"/>
    <w:basedOn w:val="CommentTextChar"/>
    <w:link w:val="CommentSubject"/>
    <w:uiPriority w:val="99"/>
    <w:semiHidden/>
    <w:rsid w:val="00C36FAE"/>
    <w:rPr>
      <w:b/>
      <w:bCs/>
      <w:sz w:val="20"/>
      <w:szCs w:val="20"/>
      <w:lang w:val="en-GB"/>
    </w:rPr>
  </w:style>
  <w:style w:type="paragraph" w:styleId="NoSpacing">
    <w:name w:val="No Spacing"/>
    <w:uiPriority w:val="1"/>
    <w:qFormat/>
    <w:rsid w:val="0090174B"/>
    <w:pPr>
      <w:spacing w:after="0" w:line="240" w:lineRule="auto"/>
    </w:pPr>
    <w:rPr>
      <w:lang w:val="en-GB"/>
    </w:rPr>
  </w:style>
  <w:style w:type="paragraph" w:customStyle="1" w:styleId="Default">
    <w:name w:val="Default"/>
    <w:rsid w:val="008E343C"/>
    <w:pPr>
      <w:autoSpaceDE w:val="0"/>
      <w:autoSpaceDN w:val="0"/>
      <w:adjustRightInd w:val="0"/>
      <w:spacing w:after="0" w:line="240" w:lineRule="auto"/>
    </w:pPr>
    <w:rPr>
      <w:rFonts w:ascii="Arial" w:hAnsi="Arial" w:cs="Arial"/>
      <w:color w:val="000000"/>
      <w:sz w:val="24"/>
      <w:szCs w:val="24"/>
      <w:lang w:val="en-GB"/>
    </w:rPr>
  </w:style>
  <w:style w:type="paragraph" w:styleId="TOC1">
    <w:name w:val="toc 1"/>
    <w:basedOn w:val="Normal"/>
    <w:next w:val="Normal"/>
    <w:autoRedefine/>
    <w:uiPriority w:val="39"/>
    <w:rsid w:val="005D7AF8"/>
    <w:pPr>
      <w:tabs>
        <w:tab w:val="right" w:leader="dot" w:pos="9350"/>
      </w:tabs>
      <w:spacing w:after="0" w:line="240" w:lineRule="auto"/>
    </w:pPr>
    <w:rPr>
      <w:rFonts w:eastAsia="Times New Roman" w:cstheme="minorHAnsi"/>
      <w:noProof/>
      <w:sz w:val="24"/>
      <w:szCs w:val="24"/>
      <w:lang w:val="en-US"/>
    </w:rPr>
  </w:style>
  <w:style w:type="character" w:styleId="Hyperlink">
    <w:name w:val="Hyperlink"/>
    <w:uiPriority w:val="99"/>
    <w:unhideWhenUsed/>
    <w:rsid w:val="00FF64EA"/>
    <w:rPr>
      <w:color w:val="0000FF"/>
      <w:u w:val="single"/>
    </w:rPr>
  </w:style>
  <w:style w:type="paragraph" w:styleId="TOC2">
    <w:name w:val="toc 2"/>
    <w:basedOn w:val="Normal"/>
    <w:next w:val="Normal"/>
    <w:autoRedefine/>
    <w:uiPriority w:val="39"/>
    <w:rsid w:val="00DC68C1"/>
    <w:pPr>
      <w:tabs>
        <w:tab w:val="right" w:leader="dot" w:pos="9350"/>
      </w:tabs>
      <w:spacing w:after="0" w:line="240" w:lineRule="auto"/>
      <w:ind w:left="240"/>
    </w:pPr>
    <w:rPr>
      <w:rFonts w:eastAsia="Times New Roman" w:cstheme="minorHAnsi"/>
      <w:noProof/>
      <w:sz w:val="24"/>
      <w:szCs w:val="24"/>
      <w:lang w:val="en-US"/>
    </w:rPr>
  </w:style>
  <w:style w:type="character" w:styleId="Strong">
    <w:name w:val="Strong"/>
    <w:qFormat/>
    <w:rsid w:val="00FF64EA"/>
    <w:rPr>
      <w:b/>
      <w:bCs/>
    </w:rPr>
  </w:style>
  <w:style w:type="table" w:customStyle="1" w:styleId="TableGrid1">
    <w:name w:val="Table Grid1"/>
    <w:basedOn w:val="TableNormal"/>
    <w:next w:val="TableGrid"/>
    <w:uiPriority w:val="59"/>
    <w:rsid w:val="00E21EDD"/>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F763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rsid w:val="000C5B85"/>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rsid w:val="002073D1"/>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AE603B"/>
    <w:pPr>
      <w:spacing w:after="0" w:line="240" w:lineRule="auto"/>
    </w:pPr>
    <w:rPr>
      <w:lang w:val="en-GB"/>
    </w:rPr>
  </w:style>
  <w:style w:type="table" w:customStyle="1" w:styleId="TableGrid13">
    <w:name w:val="Table Grid13"/>
    <w:basedOn w:val="TableNormal"/>
    <w:next w:val="TableGrid"/>
    <w:rsid w:val="00B93AC0"/>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667E08"/>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667E08"/>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rsid w:val="00420781"/>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7627BE"/>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B6451B"/>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rsid w:val="00B84EF4"/>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rsid w:val="00640257"/>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rsid w:val="00027F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rsid w:val="00C258F7"/>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rsid w:val="002B7E8C"/>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rsid w:val="007536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rsid w:val="00855445"/>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rsid w:val="00C16345"/>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rsid w:val="00BE2E0C"/>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394E4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59"/>
    <w:rsid w:val="00A43324"/>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
    <w:name w:val="Table Grid25"/>
    <w:basedOn w:val="TableNormal"/>
    <w:next w:val="TableGrid"/>
    <w:rsid w:val="00F96427"/>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rsid w:val="0067741A"/>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uiPriority w:val="59"/>
    <w:rsid w:val="00750EBC"/>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0">
    <w:name w:val="Table Grid110"/>
    <w:basedOn w:val="TableNormal"/>
    <w:next w:val="TableGrid"/>
    <w:rsid w:val="00673437"/>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6">
    <w:name w:val="Table Grid26"/>
    <w:basedOn w:val="TableNormal"/>
    <w:next w:val="TableGrid"/>
    <w:rsid w:val="004478FD"/>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rsid w:val="004478FD"/>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7">
    <w:name w:val="Table Grid27"/>
    <w:basedOn w:val="TableNormal"/>
    <w:rsid w:val="002C34C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8">
    <w:name w:val="Table Grid28"/>
    <w:basedOn w:val="TableNormal"/>
    <w:rsid w:val="002C34C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9">
    <w:name w:val="Table Grid29"/>
    <w:basedOn w:val="TableNormal"/>
    <w:next w:val="TableGrid"/>
    <w:uiPriority w:val="59"/>
    <w:rsid w:val="00DF29D4"/>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0">
    <w:name w:val="Table Grid30"/>
    <w:basedOn w:val="TableNormal"/>
    <w:next w:val="TableGrid"/>
    <w:uiPriority w:val="59"/>
    <w:rsid w:val="008A176F"/>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9D44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semiHidden/>
    <w:rsid w:val="0045620F"/>
    <w:rPr>
      <w:rFonts w:asciiTheme="majorHAnsi" w:eastAsiaTheme="majorEastAsia" w:hAnsiTheme="majorHAnsi" w:cstheme="majorBidi"/>
      <w:b/>
      <w:bCs/>
      <w:color w:val="4F81BD" w:themeColor="accent1"/>
      <w:lang w:val="en-GB"/>
    </w:rPr>
  </w:style>
  <w:style w:type="table" w:customStyle="1" w:styleId="TableGrid32">
    <w:name w:val="Table Grid32"/>
    <w:basedOn w:val="TableNormal"/>
    <w:next w:val="TableGrid"/>
    <w:uiPriority w:val="59"/>
    <w:rsid w:val="004A5CE6"/>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00401B"/>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EB01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3">
    <w:name w:val="Light Shading Accent 3"/>
    <w:basedOn w:val="TableNormal"/>
    <w:uiPriority w:val="60"/>
    <w:rsid w:val="002C043F"/>
    <w:pPr>
      <w:spacing w:after="0" w:line="240" w:lineRule="auto"/>
    </w:pPr>
    <w:rPr>
      <w:color w:val="76923C" w:themeColor="accent3" w:themeShade="BF"/>
      <w:lang w:val="en-GB"/>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Caption">
    <w:name w:val="caption"/>
    <w:basedOn w:val="Normal"/>
    <w:next w:val="Normal"/>
    <w:uiPriority w:val="35"/>
    <w:unhideWhenUsed/>
    <w:qFormat/>
    <w:rsid w:val="00E9032B"/>
    <w:pPr>
      <w:spacing w:line="240" w:lineRule="auto"/>
    </w:pPr>
    <w:rPr>
      <w:b/>
      <w:bCs/>
      <w:color w:val="4F81BD" w:themeColor="accent1"/>
      <w:sz w:val="18"/>
      <w:szCs w:val="18"/>
    </w:rPr>
  </w:style>
  <w:style w:type="paragraph" w:styleId="BodyText">
    <w:name w:val="Body Text"/>
    <w:basedOn w:val="Normal"/>
    <w:link w:val="BodyTextChar"/>
    <w:uiPriority w:val="1"/>
    <w:unhideWhenUsed/>
    <w:rsid w:val="009C3B5C"/>
    <w:pPr>
      <w:autoSpaceDE w:val="0"/>
      <w:autoSpaceDN w:val="0"/>
      <w:spacing w:after="0" w:line="240" w:lineRule="auto"/>
    </w:pPr>
    <w:rPr>
      <w:rFonts w:ascii="Arial" w:hAnsi="Arial" w:cs="Arial"/>
      <w:sz w:val="24"/>
      <w:szCs w:val="24"/>
    </w:rPr>
  </w:style>
  <w:style w:type="character" w:customStyle="1" w:styleId="BodyTextChar">
    <w:name w:val="Body Text Char"/>
    <w:basedOn w:val="DefaultParagraphFont"/>
    <w:link w:val="BodyText"/>
    <w:uiPriority w:val="1"/>
    <w:rsid w:val="009C3B5C"/>
    <w:rPr>
      <w:rFonts w:ascii="Arial" w:hAnsi="Arial" w:cs="Arial"/>
      <w:sz w:val="24"/>
      <w:szCs w:val="24"/>
      <w:lang w:val="en-GB"/>
    </w:rPr>
  </w:style>
  <w:style w:type="paragraph" w:styleId="Title">
    <w:name w:val="Title"/>
    <w:basedOn w:val="Normal"/>
    <w:next w:val="Normal"/>
    <w:link w:val="TitleChar"/>
    <w:uiPriority w:val="10"/>
    <w:qFormat/>
    <w:rsid w:val="004D4FE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D4FEE"/>
    <w:rPr>
      <w:rFonts w:asciiTheme="majorHAnsi" w:eastAsiaTheme="majorEastAsia" w:hAnsiTheme="majorHAnsi" w:cstheme="majorBidi"/>
      <w:color w:val="17365D" w:themeColor="text2" w:themeShade="BF"/>
      <w:spacing w:val="5"/>
      <w:kern w:val="28"/>
      <w:sz w:val="52"/>
      <w:szCs w:val="52"/>
      <w:lang w:val="en-GB"/>
    </w:rPr>
  </w:style>
  <w:style w:type="table" w:customStyle="1" w:styleId="TableGrid35">
    <w:name w:val="Table Grid35"/>
    <w:basedOn w:val="TableNormal"/>
    <w:next w:val="TableGrid"/>
    <w:uiPriority w:val="59"/>
    <w:rsid w:val="006A4DB6"/>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59"/>
    <w:rsid w:val="00A7587B"/>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uiPriority w:val="59"/>
    <w:rsid w:val="005E3941"/>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8">
    <w:name w:val="Table Grid38"/>
    <w:basedOn w:val="TableNormal"/>
    <w:next w:val="TableGrid"/>
    <w:uiPriority w:val="59"/>
    <w:rsid w:val="00AC7BB5"/>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9">
    <w:name w:val="Table Grid39"/>
    <w:basedOn w:val="TableNormal"/>
    <w:next w:val="TableGrid"/>
    <w:uiPriority w:val="59"/>
    <w:rsid w:val="00AC7BB5"/>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0">
    <w:name w:val="Table Grid40"/>
    <w:basedOn w:val="TableNormal"/>
    <w:next w:val="TableGrid"/>
    <w:uiPriority w:val="59"/>
    <w:rsid w:val="00095B52"/>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095B52"/>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123998"/>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50915">
      <w:bodyDiv w:val="1"/>
      <w:marLeft w:val="0"/>
      <w:marRight w:val="0"/>
      <w:marTop w:val="0"/>
      <w:marBottom w:val="0"/>
      <w:divBdr>
        <w:top w:val="none" w:sz="0" w:space="0" w:color="auto"/>
        <w:left w:val="none" w:sz="0" w:space="0" w:color="auto"/>
        <w:bottom w:val="none" w:sz="0" w:space="0" w:color="auto"/>
        <w:right w:val="none" w:sz="0" w:space="0" w:color="auto"/>
      </w:divBdr>
    </w:div>
    <w:div w:id="30956351">
      <w:bodyDiv w:val="1"/>
      <w:marLeft w:val="0"/>
      <w:marRight w:val="0"/>
      <w:marTop w:val="0"/>
      <w:marBottom w:val="0"/>
      <w:divBdr>
        <w:top w:val="none" w:sz="0" w:space="0" w:color="auto"/>
        <w:left w:val="none" w:sz="0" w:space="0" w:color="auto"/>
        <w:bottom w:val="none" w:sz="0" w:space="0" w:color="auto"/>
        <w:right w:val="none" w:sz="0" w:space="0" w:color="auto"/>
      </w:divBdr>
    </w:div>
    <w:div w:id="51589673">
      <w:bodyDiv w:val="1"/>
      <w:marLeft w:val="0"/>
      <w:marRight w:val="0"/>
      <w:marTop w:val="0"/>
      <w:marBottom w:val="0"/>
      <w:divBdr>
        <w:top w:val="none" w:sz="0" w:space="0" w:color="auto"/>
        <w:left w:val="none" w:sz="0" w:space="0" w:color="auto"/>
        <w:bottom w:val="none" w:sz="0" w:space="0" w:color="auto"/>
        <w:right w:val="none" w:sz="0" w:space="0" w:color="auto"/>
      </w:divBdr>
    </w:div>
    <w:div w:id="68773874">
      <w:bodyDiv w:val="1"/>
      <w:marLeft w:val="0"/>
      <w:marRight w:val="0"/>
      <w:marTop w:val="0"/>
      <w:marBottom w:val="0"/>
      <w:divBdr>
        <w:top w:val="none" w:sz="0" w:space="0" w:color="auto"/>
        <w:left w:val="none" w:sz="0" w:space="0" w:color="auto"/>
        <w:bottom w:val="none" w:sz="0" w:space="0" w:color="auto"/>
        <w:right w:val="none" w:sz="0" w:space="0" w:color="auto"/>
      </w:divBdr>
    </w:div>
    <w:div w:id="81489398">
      <w:bodyDiv w:val="1"/>
      <w:marLeft w:val="0"/>
      <w:marRight w:val="0"/>
      <w:marTop w:val="0"/>
      <w:marBottom w:val="0"/>
      <w:divBdr>
        <w:top w:val="none" w:sz="0" w:space="0" w:color="auto"/>
        <w:left w:val="none" w:sz="0" w:space="0" w:color="auto"/>
        <w:bottom w:val="none" w:sz="0" w:space="0" w:color="auto"/>
        <w:right w:val="none" w:sz="0" w:space="0" w:color="auto"/>
      </w:divBdr>
    </w:div>
    <w:div w:id="85344566">
      <w:bodyDiv w:val="1"/>
      <w:marLeft w:val="0"/>
      <w:marRight w:val="0"/>
      <w:marTop w:val="0"/>
      <w:marBottom w:val="0"/>
      <w:divBdr>
        <w:top w:val="none" w:sz="0" w:space="0" w:color="auto"/>
        <w:left w:val="none" w:sz="0" w:space="0" w:color="auto"/>
        <w:bottom w:val="none" w:sz="0" w:space="0" w:color="auto"/>
        <w:right w:val="none" w:sz="0" w:space="0" w:color="auto"/>
      </w:divBdr>
    </w:div>
    <w:div w:id="90129553">
      <w:bodyDiv w:val="1"/>
      <w:marLeft w:val="0"/>
      <w:marRight w:val="0"/>
      <w:marTop w:val="0"/>
      <w:marBottom w:val="0"/>
      <w:divBdr>
        <w:top w:val="none" w:sz="0" w:space="0" w:color="auto"/>
        <w:left w:val="none" w:sz="0" w:space="0" w:color="auto"/>
        <w:bottom w:val="none" w:sz="0" w:space="0" w:color="auto"/>
        <w:right w:val="none" w:sz="0" w:space="0" w:color="auto"/>
      </w:divBdr>
    </w:div>
    <w:div w:id="100683109">
      <w:bodyDiv w:val="1"/>
      <w:marLeft w:val="0"/>
      <w:marRight w:val="0"/>
      <w:marTop w:val="0"/>
      <w:marBottom w:val="0"/>
      <w:divBdr>
        <w:top w:val="none" w:sz="0" w:space="0" w:color="auto"/>
        <w:left w:val="none" w:sz="0" w:space="0" w:color="auto"/>
        <w:bottom w:val="none" w:sz="0" w:space="0" w:color="auto"/>
        <w:right w:val="none" w:sz="0" w:space="0" w:color="auto"/>
      </w:divBdr>
    </w:div>
    <w:div w:id="144011392">
      <w:bodyDiv w:val="1"/>
      <w:marLeft w:val="0"/>
      <w:marRight w:val="0"/>
      <w:marTop w:val="0"/>
      <w:marBottom w:val="0"/>
      <w:divBdr>
        <w:top w:val="none" w:sz="0" w:space="0" w:color="auto"/>
        <w:left w:val="none" w:sz="0" w:space="0" w:color="auto"/>
        <w:bottom w:val="none" w:sz="0" w:space="0" w:color="auto"/>
        <w:right w:val="none" w:sz="0" w:space="0" w:color="auto"/>
      </w:divBdr>
    </w:div>
    <w:div w:id="177012839">
      <w:bodyDiv w:val="1"/>
      <w:marLeft w:val="0"/>
      <w:marRight w:val="0"/>
      <w:marTop w:val="0"/>
      <w:marBottom w:val="0"/>
      <w:divBdr>
        <w:top w:val="none" w:sz="0" w:space="0" w:color="auto"/>
        <w:left w:val="none" w:sz="0" w:space="0" w:color="auto"/>
        <w:bottom w:val="none" w:sz="0" w:space="0" w:color="auto"/>
        <w:right w:val="none" w:sz="0" w:space="0" w:color="auto"/>
      </w:divBdr>
    </w:div>
    <w:div w:id="195122199">
      <w:bodyDiv w:val="1"/>
      <w:marLeft w:val="0"/>
      <w:marRight w:val="0"/>
      <w:marTop w:val="0"/>
      <w:marBottom w:val="0"/>
      <w:divBdr>
        <w:top w:val="none" w:sz="0" w:space="0" w:color="auto"/>
        <w:left w:val="none" w:sz="0" w:space="0" w:color="auto"/>
        <w:bottom w:val="none" w:sz="0" w:space="0" w:color="auto"/>
        <w:right w:val="none" w:sz="0" w:space="0" w:color="auto"/>
      </w:divBdr>
    </w:div>
    <w:div w:id="207912077">
      <w:bodyDiv w:val="1"/>
      <w:marLeft w:val="0"/>
      <w:marRight w:val="0"/>
      <w:marTop w:val="0"/>
      <w:marBottom w:val="0"/>
      <w:divBdr>
        <w:top w:val="none" w:sz="0" w:space="0" w:color="auto"/>
        <w:left w:val="none" w:sz="0" w:space="0" w:color="auto"/>
        <w:bottom w:val="none" w:sz="0" w:space="0" w:color="auto"/>
        <w:right w:val="none" w:sz="0" w:space="0" w:color="auto"/>
      </w:divBdr>
    </w:div>
    <w:div w:id="210963536">
      <w:bodyDiv w:val="1"/>
      <w:marLeft w:val="0"/>
      <w:marRight w:val="0"/>
      <w:marTop w:val="0"/>
      <w:marBottom w:val="0"/>
      <w:divBdr>
        <w:top w:val="none" w:sz="0" w:space="0" w:color="auto"/>
        <w:left w:val="none" w:sz="0" w:space="0" w:color="auto"/>
        <w:bottom w:val="none" w:sz="0" w:space="0" w:color="auto"/>
        <w:right w:val="none" w:sz="0" w:space="0" w:color="auto"/>
      </w:divBdr>
    </w:div>
    <w:div w:id="217325886">
      <w:bodyDiv w:val="1"/>
      <w:marLeft w:val="0"/>
      <w:marRight w:val="0"/>
      <w:marTop w:val="0"/>
      <w:marBottom w:val="0"/>
      <w:divBdr>
        <w:top w:val="none" w:sz="0" w:space="0" w:color="auto"/>
        <w:left w:val="none" w:sz="0" w:space="0" w:color="auto"/>
        <w:bottom w:val="none" w:sz="0" w:space="0" w:color="auto"/>
        <w:right w:val="none" w:sz="0" w:space="0" w:color="auto"/>
      </w:divBdr>
    </w:div>
    <w:div w:id="221991382">
      <w:bodyDiv w:val="1"/>
      <w:marLeft w:val="0"/>
      <w:marRight w:val="0"/>
      <w:marTop w:val="0"/>
      <w:marBottom w:val="0"/>
      <w:divBdr>
        <w:top w:val="none" w:sz="0" w:space="0" w:color="auto"/>
        <w:left w:val="none" w:sz="0" w:space="0" w:color="auto"/>
        <w:bottom w:val="none" w:sz="0" w:space="0" w:color="auto"/>
        <w:right w:val="none" w:sz="0" w:space="0" w:color="auto"/>
      </w:divBdr>
    </w:div>
    <w:div w:id="231670527">
      <w:bodyDiv w:val="1"/>
      <w:marLeft w:val="0"/>
      <w:marRight w:val="0"/>
      <w:marTop w:val="0"/>
      <w:marBottom w:val="0"/>
      <w:divBdr>
        <w:top w:val="none" w:sz="0" w:space="0" w:color="auto"/>
        <w:left w:val="none" w:sz="0" w:space="0" w:color="auto"/>
        <w:bottom w:val="none" w:sz="0" w:space="0" w:color="auto"/>
        <w:right w:val="none" w:sz="0" w:space="0" w:color="auto"/>
      </w:divBdr>
    </w:div>
    <w:div w:id="242377428">
      <w:bodyDiv w:val="1"/>
      <w:marLeft w:val="0"/>
      <w:marRight w:val="0"/>
      <w:marTop w:val="0"/>
      <w:marBottom w:val="0"/>
      <w:divBdr>
        <w:top w:val="none" w:sz="0" w:space="0" w:color="auto"/>
        <w:left w:val="none" w:sz="0" w:space="0" w:color="auto"/>
        <w:bottom w:val="none" w:sz="0" w:space="0" w:color="auto"/>
        <w:right w:val="none" w:sz="0" w:space="0" w:color="auto"/>
      </w:divBdr>
    </w:div>
    <w:div w:id="247084060">
      <w:bodyDiv w:val="1"/>
      <w:marLeft w:val="0"/>
      <w:marRight w:val="0"/>
      <w:marTop w:val="0"/>
      <w:marBottom w:val="0"/>
      <w:divBdr>
        <w:top w:val="none" w:sz="0" w:space="0" w:color="auto"/>
        <w:left w:val="none" w:sz="0" w:space="0" w:color="auto"/>
        <w:bottom w:val="none" w:sz="0" w:space="0" w:color="auto"/>
        <w:right w:val="none" w:sz="0" w:space="0" w:color="auto"/>
      </w:divBdr>
    </w:div>
    <w:div w:id="262302149">
      <w:bodyDiv w:val="1"/>
      <w:marLeft w:val="0"/>
      <w:marRight w:val="0"/>
      <w:marTop w:val="0"/>
      <w:marBottom w:val="0"/>
      <w:divBdr>
        <w:top w:val="none" w:sz="0" w:space="0" w:color="auto"/>
        <w:left w:val="none" w:sz="0" w:space="0" w:color="auto"/>
        <w:bottom w:val="none" w:sz="0" w:space="0" w:color="auto"/>
        <w:right w:val="none" w:sz="0" w:space="0" w:color="auto"/>
      </w:divBdr>
    </w:div>
    <w:div w:id="271592681">
      <w:bodyDiv w:val="1"/>
      <w:marLeft w:val="0"/>
      <w:marRight w:val="0"/>
      <w:marTop w:val="0"/>
      <w:marBottom w:val="0"/>
      <w:divBdr>
        <w:top w:val="none" w:sz="0" w:space="0" w:color="auto"/>
        <w:left w:val="none" w:sz="0" w:space="0" w:color="auto"/>
        <w:bottom w:val="none" w:sz="0" w:space="0" w:color="auto"/>
        <w:right w:val="none" w:sz="0" w:space="0" w:color="auto"/>
      </w:divBdr>
      <w:divsChild>
        <w:div w:id="1527912984">
          <w:marLeft w:val="0"/>
          <w:marRight w:val="0"/>
          <w:marTop w:val="0"/>
          <w:marBottom w:val="0"/>
          <w:divBdr>
            <w:top w:val="none" w:sz="0" w:space="0" w:color="auto"/>
            <w:left w:val="none" w:sz="0" w:space="0" w:color="auto"/>
            <w:bottom w:val="none" w:sz="0" w:space="0" w:color="auto"/>
            <w:right w:val="none" w:sz="0" w:space="0" w:color="auto"/>
          </w:divBdr>
          <w:divsChild>
            <w:div w:id="44304937">
              <w:marLeft w:val="0"/>
              <w:marRight w:val="0"/>
              <w:marTop w:val="0"/>
              <w:marBottom w:val="0"/>
              <w:divBdr>
                <w:top w:val="none" w:sz="0" w:space="0" w:color="auto"/>
                <w:left w:val="none" w:sz="0" w:space="0" w:color="auto"/>
                <w:bottom w:val="none" w:sz="0" w:space="0" w:color="auto"/>
                <w:right w:val="none" w:sz="0" w:space="0" w:color="auto"/>
              </w:divBdr>
              <w:divsChild>
                <w:div w:id="148131909">
                  <w:marLeft w:val="0"/>
                  <w:marRight w:val="0"/>
                  <w:marTop w:val="0"/>
                  <w:marBottom w:val="0"/>
                  <w:divBdr>
                    <w:top w:val="none" w:sz="0" w:space="0" w:color="auto"/>
                    <w:left w:val="none" w:sz="0" w:space="0" w:color="auto"/>
                    <w:bottom w:val="none" w:sz="0" w:space="0" w:color="auto"/>
                    <w:right w:val="none" w:sz="0" w:space="0" w:color="auto"/>
                  </w:divBdr>
                  <w:divsChild>
                    <w:div w:id="2011980717">
                      <w:marLeft w:val="0"/>
                      <w:marRight w:val="0"/>
                      <w:marTop w:val="0"/>
                      <w:marBottom w:val="0"/>
                      <w:divBdr>
                        <w:top w:val="none" w:sz="0" w:space="0" w:color="auto"/>
                        <w:left w:val="none" w:sz="0" w:space="0" w:color="auto"/>
                        <w:bottom w:val="none" w:sz="0" w:space="0" w:color="auto"/>
                        <w:right w:val="none" w:sz="0" w:space="0" w:color="auto"/>
                      </w:divBdr>
                      <w:divsChild>
                        <w:div w:id="804617021">
                          <w:marLeft w:val="0"/>
                          <w:marRight w:val="0"/>
                          <w:marTop w:val="0"/>
                          <w:marBottom w:val="0"/>
                          <w:divBdr>
                            <w:top w:val="none" w:sz="0" w:space="0" w:color="auto"/>
                            <w:left w:val="none" w:sz="0" w:space="0" w:color="auto"/>
                            <w:bottom w:val="none" w:sz="0" w:space="0" w:color="auto"/>
                            <w:right w:val="none" w:sz="0" w:space="0" w:color="auto"/>
                          </w:divBdr>
                          <w:divsChild>
                            <w:div w:id="676227451">
                              <w:marLeft w:val="0"/>
                              <w:marRight w:val="0"/>
                              <w:marTop w:val="0"/>
                              <w:marBottom w:val="0"/>
                              <w:divBdr>
                                <w:top w:val="none" w:sz="0" w:space="0" w:color="auto"/>
                                <w:left w:val="none" w:sz="0" w:space="0" w:color="auto"/>
                                <w:bottom w:val="none" w:sz="0" w:space="0" w:color="auto"/>
                                <w:right w:val="none" w:sz="0" w:space="0" w:color="auto"/>
                              </w:divBdr>
                              <w:divsChild>
                                <w:div w:id="564144002">
                                  <w:marLeft w:val="0"/>
                                  <w:marRight w:val="0"/>
                                  <w:marTop w:val="0"/>
                                  <w:marBottom w:val="0"/>
                                  <w:divBdr>
                                    <w:top w:val="none" w:sz="0" w:space="0" w:color="auto"/>
                                    <w:left w:val="none" w:sz="0" w:space="0" w:color="auto"/>
                                    <w:bottom w:val="none" w:sz="0" w:space="0" w:color="auto"/>
                                    <w:right w:val="none" w:sz="0" w:space="0" w:color="auto"/>
                                  </w:divBdr>
                                  <w:divsChild>
                                    <w:div w:id="162668907">
                                      <w:marLeft w:val="0"/>
                                      <w:marRight w:val="0"/>
                                      <w:marTop w:val="0"/>
                                      <w:marBottom w:val="0"/>
                                      <w:divBdr>
                                        <w:top w:val="none" w:sz="0" w:space="0" w:color="auto"/>
                                        <w:left w:val="none" w:sz="0" w:space="0" w:color="auto"/>
                                        <w:bottom w:val="none" w:sz="0" w:space="0" w:color="auto"/>
                                        <w:right w:val="none" w:sz="0" w:space="0" w:color="auto"/>
                                      </w:divBdr>
                                      <w:divsChild>
                                        <w:div w:id="742945350">
                                          <w:marLeft w:val="0"/>
                                          <w:marRight w:val="0"/>
                                          <w:marTop w:val="0"/>
                                          <w:marBottom w:val="0"/>
                                          <w:divBdr>
                                            <w:top w:val="none" w:sz="0" w:space="0" w:color="auto"/>
                                            <w:left w:val="none" w:sz="0" w:space="0" w:color="auto"/>
                                            <w:bottom w:val="none" w:sz="0" w:space="0" w:color="auto"/>
                                            <w:right w:val="none" w:sz="0" w:space="0" w:color="auto"/>
                                          </w:divBdr>
                                          <w:divsChild>
                                            <w:div w:id="2041588547">
                                              <w:marLeft w:val="0"/>
                                              <w:marRight w:val="0"/>
                                              <w:marTop w:val="0"/>
                                              <w:marBottom w:val="0"/>
                                              <w:divBdr>
                                                <w:top w:val="none" w:sz="0" w:space="0" w:color="auto"/>
                                                <w:left w:val="none" w:sz="0" w:space="0" w:color="auto"/>
                                                <w:bottom w:val="none" w:sz="0" w:space="0" w:color="auto"/>
                                                <w:right w:val="none" w:sz="0" w:space="0" w:color="auto"/>
                                              </w:divBdr>
                                              <w:divsChild>
                                                <w:div w:id="246235704">
                                                  <w:marLeft w:val="0"/>
                                                  <w:marRight w:val="0"/>
                                                  <w:marTop w:val="0"/>
                                                  <w:marBottom w:val="0"/>
                                                  <w:divBdr>
                                                    <w:top w:val="none" w:sz="0" w:space="0" w:color="auto"/>
                                                    <w:left w:val="none" w:sz="0" w:space="0" w:color="auto"/>
                                                    <w:bottom w:val="none" w:sz="0" w:space="0" w:color="auto"/>
                                                    <w:right w:val="none" w:sz="0" w:space="0" w:color="auto"/>
                                                  </w:divBdr>
                                                  <w:divsChild>
                                                    <w:div w:id="755786072">
                                                      <w:marLeft w:val="0"/>
                                                      <w:marRight w:val="0"/>
                                                      <w:marTop w:val="0"/>
                                                      <w:marBottom w:val="0"/>
                                                      <w:divBdr>
                                                        <w:top w:val="none" w:sz="0" w:space="0" w:color="auto"/>
                                                        <w:left w:val="none" w:sz="0" w:space="0" w:color="auto"/>
                                                        <w:bottom w:val="none" w:sz="0" w:space="0" w:color="auto"/>
                                                        <w:right w:val="none" w:sz="0" w:space="0" w:color="auto"/>
                                                      </w:divBdr>
                                                      <w:divsChild>
                                                        <w:div w:id="1323125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73220829">
      <w:bodyDiv w:val="1"/>
      <w:marLeft w:val="0"/>
      <w:marRight w:val="0"/>
      <w:marTop w:val="0"/>
      <w:marBottom w:val="0"/>
      <w:divBdr>
        <w:top w:val="none" w:sz="0" w:space="0" w:color="auto"/>
        <w:left w:val="none" w:sz="0" w:space="0" w:color="auto"/>
        <w:bottom w:val="none" w:sz="0" w:space="0" w:color="auto"/>
        <w:right w:val="none" w:sz="0" w:space="0" w:color="auto"/>
      </w:divBdr>
    </w:div>
    <w:div w:id="284041773">
      <w:bodyDiv w:val="1"/>
      <w:marLeft w:val="0"/>
      <w:marRight w:val="0"/>
      <w:marTop w:val="0"/>
      <w:marBottom w:val="0"/>
      <w:divBdr>
        <w:top w:val="none" w:sz="0" w:space="0" w:color="auto"/>
        <w:left w:val="none" w:sz="0" w:space="0" w:color="auto"/>
        <w:bottom w:val="none" w:sz="0" w:space="0" w:color="auto"/>
        <w:right w:val="none" w:sz="0" w:space="0" w:color="auto"/>
      </w:divBdr>
    </w:div>
    <w:div w:id="289944656">
      <w:bodyDiv w:val="1"/>
      <w:marLeft w:val="0"/>
      <w:marRight w:val="0"/>
      <w:marTop w:val="0"/>
      <w:marBottom w:val="0"/>
      <w:divBdr>
        <w:top w:val="none" w:sz="0" w:space="0" w:color="auto"/>
        <w:left w:val="none" w:sz="0" w:space="0" w:color="auto"/>
        <w:bottom w:val="none" w:sz="0" w:space="0" w:color="auto"/>
        <w:right w:val="none" w:sz="0" w:space="0" w:color="auto"/>
      </w:divBdr>
    </w:div>
    <w:div w:id="313144005">
      <w:bodyDiv w:val="1"/>
      <w:marLeft w:val="0"/>
      <w:marRight w:val="0"/>
      <w:marTop w:val="0"/>
      <w:marBottom w:val="0"/>
      <w:divBdr>
        <w:top w:val="none" w:sz="0" w:space="0" w:color="auto"/>
        <w:left w:val="none" w:sz="0" w:space="0" w:color="auto"/>
        <w:bottom w:val="none" w:sz="0" w:space="0" w:color="auto"/>
        <w:right w:val="none" w:sz="0" w:space="0" w:color="auto"/>
      </w:divBdr>
    </w:div>
    <w:div w:id="320237387">
      <w:bodyDiv w:val="1"/>
      <w:marLeft w:val="0"/>
      <w:marRight w:val="0"/>
      <w:marTop w:val="0"/>
      <w:marBottom w:val="0"/>
      <w:divBdr>
        <w:top w:val="none" w:sz="0" w:space="0" w:color="auto"/>
        <w:left w:val="none" w:sz="0" w:space="0" w:color="auto"/>
        <w:bottom w:val="none" w:sz="0" w:space="0" w:color="auto"/>
        <w:right w:val="none" w:sz="0" w:space="0" w:color="auto"/>
      </w:divBdr>
    </w:div>
    <w:div w:id="325593584">
      <w:bodyDiv w:val="1"/>
      <w:marLeft w:val="0"/>
      <w:marRight w:val="0"/>
      <w:marTop w:val="0"/>
      <w:marBottom w:val="0"/>
      <w:divBdr>
        <w:top w:val="none" w:sz="0" w:space="0" w:color="auto"/>
        <w:left w:val="none" w:sz="0" w:space="0" w:color="auto"/>
        <w:bottom w:val="none" w:sz="0" w:space="0" w:color="auto"/>
        <w:right w:val="none" w:sz="0" w:space="0" w:color="auto"/>
      </w:divBdr>
    </w:div>
    <w:div w:id="338587146">
      <w:bodyDiv w:val="1"/>
      <w:marLeft w:val="0"/>
      <w:marRight w:val="0"/>
      <w:marTop w:val="0"/>
      <w:marBottom w:val="0"/>
      <w:divBdr>
        <w:top w:val="none" w:sz="0" w:space="0" w:color="auto"/>
        <w:left w:val="none" w:sz="0" w:space="0" w:color="auto"/>
        <w:bottom w:val="none" w:sz="0" w:space="0" w:color="auto"/>
        <w:right w:val="none" w:sz="0" w:space="0" w:color="auto"/>
      </w:divBdr>
    </w:div>
    <w:div w:id="357127928">
      <w:bodyDiv w:val="1"/>
      <w:marLeft w:val="0"/>
      <w:marRight w:val="0"/>
      <w:marTop w:val="0"/>
      <w:marBottom w:val="0"/>
      <w:divBdr>
        <w:top w:val="none" w:sz="0" w:space="0" w:color="auto"/>
        <w:left w:val="none" w:sz="0" w:space="0" w:color="auto"/>
        <w:bottom w:val="none" w:sz="0" w:space="0" w:color="auto"/>
        <w:right w:val="none" w:sz="0" w:space="0" w:color="auto"/>
      </w:divBdr>
    </w:div>
    <w:div w:id="359939108">
      <w:bodyDiv w:val="1"/>
      <w:marLeft w:val="0"/>
      <w:marRight w:val="0"/>
      <w:marTop w:val="0"/>
      <w:marBottom w:val="0"/>
      <w:divBdr>
        <w:top w:val="none" w:sz="0" w:space="0" w:color="auto"/>
        <w:left w:val="none" w:sz="0" w:space="0" w:color="auto"/>
        <w:bottom w:val="none" w:sz="0" w:space="0" w:color="auto"/>
        <w:right w:val="none" w:sz="0" w:space="0" w:color="auto"/>
      </w:divBdr>
    </w:div>
    <w:div w:id="365372205">
      <w:bodyDiv w:val="1"/>
      <w:marLeft w:val="0"/>
      <w:marRight w:val="0"/>
      <w:marTop w:val="0"/>
      <w:marBottom w:val="0"/>
      <w:divBdr>
        <w:top w:val="none" w:sz="0" w:space="0" w:color="auto"/>
        <w:left w:val="none" w:sz="0" w:space="0" w:color="auto"/>
        <w:bottom w:val="none" w:sz="0" w:space="0" w:color="auto"/>
        <w:right w:val="none" w:sz="0" w:space="0" w:color="auto"/>
      </w:divBdr>
    </w:div>
    <w:div w:id="373694307">
      <w:bodyDiv w:val="1"/>
      <w:marLeft w:val="0"/>
      <w:marRight w:val="0"/>
      <w:marTop w:val="0"/>
      <w:marBottom w:val="0"/>
      <w:divBdr>
        <w:top w:val="none" w:sz="0" w:space="0" w:color="auto"/>
        <w:left w:val="none" w:sz="0" w:space="0" w:color="auto"/>
        <w:bottom w:val="none" w:sz="0" w:space="0" w:color="auto"/>
        <w:right w:val="none" w:sz="0" w:space="0" w:color="auto"/>
      </w:divBdr>
    </w:div>
    <w:div w:id="386297820">
      <w:bodyDiv w:val="1"/>
      <w:marLeft w:val="0"/>
      <w:marRight w:val="0"/>
      <w:marTop w:val="0"/>
      <w:marBottom w:val="0"/>
      <w:divBdr>
        <w:top w:val="none" w:sz="0" w:space="0" w:color="auto"/>
        <w:left w:val="none" w:sz="0" w:space="0" w:color="auto"/>
        <w:bottom w:val="none" w:sz="0" w:space="0" w:color="auto"/>
        <w:right w:val="none" w:sz="0" w:space="0" w:color="auto"/>
      </w:divBdr>
    </w:div>
    <w:div w:id="390732228">
      <w:bodyDiv w:val="1"/>
      <w:marLeft w:val="0"/>
      <w:marRight w:val="0"/>
      <w:marTop w:val="0"/>
      <w:marBottom w:val="0"/>
      <w:divBdr>
        <w:top w:val="none" w:sz="0" w:space="0" w:color="auto"/>
        <w:left w:val="none" w:sz="0" w:space="0" w:color="auto"/>
        <w:bottom w:val="none" w:sz="0" w:space="0" w:color="auto"/>
        <w:right w:val="none" w:sz="0" w:space="0" w:color="auto"/>
      </w:divBdr>
    </w:div>
    <w:div w:id="401679983">
      <w:bodyDiv w:val="1"/>
      <w:marLeft w:val="0"/>
      <w:marRight w:val="0"/>
      <w:marTop w:val="0"/>
      <w:marBottom w:val="0"/>
      <w:divBdr>
        <w:top w:val="none" w:sz="0" w:space="0" w:color="auto"/>
        <w:left w:val="none" w:sz="0" w:space="0" w:color="auto"/>
        <w:bottom w:val="none" w:sz="0" w:space="0" w:color="auto"/>
        <w:right w:val="none" w:sz="0" w:space="0" w:color="auto"/>
      </w:divBdr>
    </w:div>
    <w:div w:id="416635049">
      <w:bodyDiv w:val="1"/>
      <w:marLeft w:val="0"/>
      <w:marRight w:val="0"/>
      <w:marTop w:val="0"/>
      <w:marBottom w:val="0"/>
      <w:divBdr>
        <w:top w:val="none" w:sz="0" w:space="0" w:color="auto"/>
        <w:left w:val="none" w:sz="0" w:space="0" w:color="auto"/>
        <w:bottom w:val="none" w:sz="0" w:space="0" w:color="auto"/>
        <w:right w:val="none" w:sz="0" w:space="0" w:color="auto"/>
      </w:divBdr>
    </w:div>
    <w:div w:id="425417959">
      <w:bodyDiv w:val="1"/>
      <w:marLeft w:val="0"/>
      <w:marRight w:val="0"/>
      <w:marTop w:val="0"/>
      <w:marBottom w:val="0"/>
      <w:divBdr>
        <w:top w:val="none" w:sz="0" w:space="0" w:color="auto"/>
        <w:left w:val="none" w:sz="0" w:space="0" w:color="auto"/>
        <w:bottom w:val="none" w:sz="0" w:space="0" w:color="auto"/>
        <w:right w:val="none" w:sz="0" w:space="0" w:color="auto"/>
      </w:divBdr>
    </w:div>
    <w:div w:id="429472117">
      <w:bodyDiv w:val="1"/>
      <w:marLeft w:val="0"/>
      <w:marRight w:val="0"/>
      <w:marTop w:val="0"/>
      <w:marBottom w:val="0"/>
      <w:divBdr>
        <w:top w:val="none" w:sz="0" w:space="0" w:color="auto"/>
        <w:left w:val="none" w:sz="0" w:space="0" w:color="auto"/>
        <w:bottom w:val="none" w:sz="0" w:space="0" w:color="auto"/>
        <w:right w:val="none" w:sz="0" w:space="0" w:color="auto"/>
      </w:divBdr>
    </w:div>
    <w:div w:id="440926963">
      <w:bodyDiv w:val="1"/>
      <w:marLeft w:val="0"/>
      <w:marRight w:val="0"/>
      <w:marTop w:val="0"/>
      <w:marBottom w:val="0"/>
      <w:divBdr>
        <w:top w:val="none" w:sz="0" w:space="0" w:color="auto"/>
        <w:left w:val="none" w:sz="0" w:space="0" w:color="auto"/>
        <w:bottom w:val="none" w:sz="0" w:space="0" w:color="auto"/>
        <w:right w:val="none" w:sz="0" w:space="0" w:color="auto"/>
      </w:divBdr>
    </w:div>
    <w:div w:id="441917205">
      <w:bodyDiv w:val="1"/>
      <w:marLeft w:val="0"/>
      <w:marRight w:val="0"/>
      <w:marTop w:val="0"/>
      <w:marBottom w:val="0"/>
      <w:divBdr>
        <w:top w:val="none" w:sz="0" w:space="0" w:color="auto"/>
        <w:left w:val="none" w:sz="0" w:space="0" w:color="auto"/>
        <w:bottom w:val="none" w:sz="0" w:space="0" w:color="auto"/>
        <w:right w:val="none" w:sz="0" w:space="0" w:color="auto"/>
      </w:divBdr>
      <w:divsChild>
        <w:div w:id="1516000332">
          <w:marLeft w:val="0"/>
          <w:marRight w:val="0"/>
          <w:marTop w:val="0"/>
          <w:marBottom w:val="0"/>
          <w:divBdr>
            <w:top w:val="none" w:sz="0" w:space="0" w:color="auto"/>
            <w:left w:val="none" w:sz="0" w:space="0" w:color="auto"/>
            <w:bottom w:val="none" w:sz="0" w:space="0" w:color="auto"/>
            <w:right w:val="none" w:sz="0" w:space="0" w:color="auto"/>
          </w:divBdr>
          <w:divsChild>
            <w:div w:id="1473325361">
              <w:marLeft w:val="0"/>
              <w:marRight w:val="0"/>
              <w:marTop w:val="0"/>
              <w:marBottom w:val="0"/>
              <w:divBdr>
                <w:top w:val="none" w:sz="0" w:space="0" w:color="auto"/>
                <w:left w:val="none" w:sz="0" w:space="0" w:color="auto"/>
                <w:bottom w:val="none" w:sz="0" w:space="0" w:color="auto"/>
                <w:right w:val="none" w:sz="0" w:space="0" w:color="auto"/>
              </w:divBdr>
              <w:divsChild>
                <w:div w:id="811215730">
                  <w:marLeft w:val="0"/>
                  <w:marRight w:val="0"/>
                  <w:marTop w:val="0"/>
                  <w:marBottom w:val="0"/>
                  <w:divBdr>
                    <w:top w:val="none" w:sz="0" w:space="0" w:color="auto"/>
                    <w:left w:val="none" w:sz="0" w:space="0" w:color="auto"/>
                    <w:bottom w:val="none" w:sz="0" w:space="0" w:color="auto"/>
                    <w:right w:val="none" w:sz="0" w:space="0" w:color="auto"/>
                  </w:divBdr>
                  <w:divsChild>
                    <w:div w:id="89543710">
                      <w:marLeft w:val="0"/>
                      <w:marRight w:val="0"/>
                      <w:marTop w:val="0"/>
                      <w:marBottom w:val="0"/>
                      <w:divBdr>
                        <w:top w:val="none" w:sz="0" w:space="0" w:color="auto"/>
                        <w:left w:val="none" w:sz="0" w:space="0" w:color="auto"/>
                        <w:bottom w:val="none" w:sz="0" w:space="0" w:color="auto"/>
                        <w:right w:val="none" w:sz="0" w:space="0" w:color="auto"/>
                      </w:divBdr>
                      <w:divsChild>
                        <w:div w:id="2081782422">
                          <w:marLeft w:val="0"/>
                          <w:marRight w:val="0"/>
                          <w:marTop w:val="0"/>
                          <w:marBottom w:val="0"/>
                          <w:divBdr>
                            <w:top w:val="none" w:sz="0" w:space="0" w:color="auto"/>
                            <w:left w:val="none" w:sz="0" w:space="0" w:color="auto"/>
                            <w:bottom w:val="none" w:sz="0" w:space="0" w:color="auto"/>
                            <w:right w:val="none" w:sz="0" w:space="0" w:color="auto"/>
                          </w:divBdr>
                          <w:divsChild>
                            <w:div w:id="1593902087">
                              <w:marLeft w:val="0"/>
                              <w:marRight w:val="0"/>
                              <w:marTop w:val="0"/>
                              <w:marBottom w:val="0"/>
                              <w:divBdr>
                                <w:top w:val="none" w:sz="0" w:space="0" w:color="auto"/>
                                <w:left w:val="none" w:sz="0" w:space="0" w:color="auto"/>
                                <w:bottom w:val="none" w:sz="0" w:space="0" w:color="auto"/>
                                <w:right w:val="none" w:sz="0" w:space="0" w:color="auto"/>
                              </w:divBdr>
                              <w:divsChild>
                                <w:div w:id="852575389">
                                  <w:marLeft w:val="0"/>
                                  <w:marRight w:val="0"/>
                                  <w:marTop w:val="0"/>
                                  <w:marBottom w:val="0"/>
                                  <w:divBdr>
                                    <w:top w:val="none" w:sz="0" w:space="0" w:color="auto"/>
                                    <w:left w:val="none" w:sz="0" w:space="0" w:color="auto"/>
                                    <w:bottom w:val="none" w:sz="0" w:space="0" w:color="auto"/>
                                    <w:right w:val="none" w:sz="0" w:space="0" w:color="auto"/>
                                  </w:divBdr>
                                  <w:divsChild>
                                    <w:div w:id="1058092714">
                                      <w:marLeft w:val="0"/>
                                      <w:marRight w:val="0"/>
                                      <w:marTop w:val="0"/>
                                      <w:marBottom w:val="0"/>
                                      <w:divBdr>
                                        <w:top w:val="none" w:sz="0" w:space="0" w:color="auto"/>
                                        <w:left w:val="none" w:sz="0" w:space="0" w:color="auto"/>
                                        <w:bottom w:val="none" w:sz="0" w:space="0" w:color="auto"/>
                                        <w:right w:val="none" w:sz="0" w:space="0" w:color="auto"/>
                                      </w:divBdr>
                                      <w:divsChild>
                                        <w:div w:id="2018801998">
                                          <w:marLeft w:val="0"/>
                                          <w:marRight w:val="0"/>
                                          <w:marTop w:val="0"/>
                                          <w:marBottom w:val="0"/>
                                          <w:divBdr>
                                            <w:top w:val="none" w:sz="0" w:space="0" w:color="auto"/>
                                            <w:left w:val="none" w:sz="0" w:space="0" w:color="auto"/>
                                            <w:bottom w:val="none" w:sz="0" w:space="0" w:color="auto"/>
                                            <w:right w:val="none" w:sz="0" w:space="0" w:color="auto"/>
                                          </w:divBdr>
                                          <w:divsChild>
                                            <w:div w:id="2058969448">
                                              <w:marLeft w:val="0"/>
                                              <w:marRight w:val="0"/>
                                              <w:marTop w:val="0"/>
                                              <w:marBottom w:val="0"/>
                                              <w:divBdr>
                                                <w:top w:val="none" w:sz="0" w:space="0" w:color="auto"/>
                                                <w:left w:val="none" w:sz="0" w:space="0" w:color="auto"/>
                                                <w:bottom w:val="none" w:sz="0" w:space="0" w:color="auto"/>
                                                <w:right w:val="none" w:sz="0" w:space="0" w:color="auto"/>
                                              </w:divBdr>
                                              <w:divsChild>
                                                <w:div w:id="1995524808">
                                                  <w:marLeft w:val="0"/>
                                                  <w:marRight w:val="0"/>
                                                  <w:marTop w:val="0"/>
                                                  <w:marBottom w:val="0"/>
                                                  <w:divBdr>
                                                    <w:top w:val="none" w:sz="0" w:space="0" w:color="auto"/>
                                                    <w:left w:val="none" w:sz="0" w:space="0" w:color="auto"/>
                                                    <w:bottom w:val="none" w:sz="0" w:space="0" w:color="auto"/>
                                                    <w:right w:val="none" w:sz="0" w:space="0" w:color="auto"/>
                                                  </w:divBdr>
                                                  <w:divsChild>
                                                    <w:div w:id="404884604">
                                                      <w:marLeft w:val="0"/>
                                                      <w:marRight w:val="0"/>
                                                      <w:marTop w:val="0"/>
                                                      <w:marBottom w:val="0"/>
                                                      <w:divBdr>
                                                        <w:top w:val="none" w:sz="0" w:space="0" w:color="auto"/>
                                                        <w:left w:val="none" w:sz="0" w:space="0" w:color="auto"/>
                                                        <w:bottom w:val="none" w:sz="0" w:space="0" w:color="auto"/>
                                                        <w:right w:val="none" w:sz="0" w:space="0" w:color="auto"/>
                                                      </w:divBdr>
                                                      <w:divsChild>
                                                        <w:div w:id="425227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42848533">
      <w:bodyDiv w:val="1"/>
      <w:marLeft w:val="0"/>
      <w:marRight w:val="0"/>
      <w:marTop w:val="0"/>
      <w:marBottom w:val="0"/>
      <w:divBdr>
        <w:top w:val="none" w:sz="0" w:space="0" w:color="auto"/>
        <w:left w:val="none" w:sz="0" w:space="0" w:color="auto"/>
        <w:bottom w:val="none" w:sz="0" w:space="0" w:color="auto"/>
        <w:right w:val="none" w:sz="0" w:space="0" w:color="auto"/>
      </w:divBdr>
    </w:div>
    <w:div w:id="444083215">
      <w:bodyDiv w:val="1"/>
      <w:marLeft w:val="0"/>
      <w:marRight w:val="0"/>
      <w:marTop w:val="0"/>
      <w:marBottom w:val="0"/>
      <w:divBdr>
        <w:top w:val="none" w:sz="0" w:space="0" w:color="auto"/>
        <w:left w:val="none" w:sz="0" w:space="0" w:color="auto"/>
        <w:bottom w:val="none" w:sz="0" w:space="0" w:color="auto"/>
        <w:right w:val="none" w:sz="0" w:space="0" w:color="auto"/>
      </w:divBdr>
    </w:div>
    <w:div w:id="449208740">
      <w:bodyDiv w:val="1"/>
      <w:marLeft w:val="0"/>
      <w:marRight w:val="0"/>
      <w:marTop w:val="0"/>
      <w:marBottom w:val="0"/>
      <w:divBdr>
        <w:top w:val="none" w:sz="0" w:space="0" w:color="auto"/>
        <w:left w:val="none" w:sz="0" w:space="0" w:color="auto"/>
        <w:bottom w:val="none" w:sz="0" w:space="0" w:color="auto"/>
        <w:right w:val="none" w:sz="0" w:space="0" w:color="auto"/>
      </w:divBdr>
    </w:div>
    <w:div w:id="467554071">
      <w:bodyDiv w:val="1"/>
      <w:marLeft w:val="0"/>
      <w:marRight w:val="0"/>
      <w:marTop w:val="0"/>
      <w:marBottom w:val="0"/>
      <w:divBdr>
        <w:top w:val="none" w:sz="0" w:space="0" w:color="auto"/>
        <w:left w:val="none" w:sz="0" w:space="0" w:color="auto"/>
        <w:bottom w:val="none" w:sz="0" w:space="0" w:color="auto"/>
        <w:right w:val="none" w:sz="0" w:space="0" w:color="auto"/>
      </w:divBdr>
    </w:div>
    <w:div w:id="469522400">
      <w:bodyDiv w:val="1"/>
      <w:marLeft w:val="0"/>
      <w:marRight w:val="0"/>
      <w:marTop w:val="0"/>
      <w:marBottom w:val="0"/>
      <w:divBdr>
        <w:top w:val="none" w:sz="0" w:space="0" w:color="auto"/>
        <w:left w:val="none" w:sz="0" w:space="0" w:color="auto"/>
        <w:bottom w:val="none" w:sz="0" w:space="0" w:color="auto"/>
        <w:right w:val="none" w:sz="0" w:space="0" w:color="auto"/>
      </w:divBdr>
    </w:div>
    <w:div w:id="471025398">
      <w:bodyDiv w:val="1"/>
      <w:marLeft w:val="0"/>
      <w:marRight w:val="0"/>
      <w:marTop w:val="0"/>
      <w:marBottom w:val="0"/>
      <w:divBdr>
        <w:top w:val="none" w:sz="0" w:space="0" w:color="auto"/>
        <w:left w:val="none" w:sz="0" w:space="0" w:color="auto"/>
        <w:bottom w:val="none" w:sz="0" w:space="0" w:color="auto"/>
        <w:right w:val="none" w:sz="0" w:space="0" w:color="auto"/>
      </w:divBdr>
    </w:div>
    <w:div w:id="477457170">
      <w:bodyDiv w:val="1"/>
      <w:marLeft w:val="0"/>
      <w:marRight w:val="0"/>
      <w:marTop w:val="0"/>
      <w:marBottom w:val="0"/>
      <w:divBdr>
        <w:top w:val="none" w:sz="0" w:space="0" w:color="auto"/>
        <w:left w:val="none" w:sz="0" w:space="0" w:color="auto"/>
        <w:bottom w:val="none" w:sz="0" w:space="0" w:color="auto"/>
        <w:right w:val="none" w:sz="0" w:space="0" w:color="auto"/>
      </w:divBdr>
    </w:div>
    <w:div w:id="483156751">
      <w:bodyDiv w:val="1"/>
      <w:marLeft w:val="0"/>
      <w:marRight w:val="0"/>
      <w:marTop w:val="0"/>
      <w:marBottom w:val="0"/>
      <w:divBdr>
        <w:top w:val="none" w:sz="0" w:space="0" w:color="auto"/>
        <w:left w:val="none" w:sz="0" w:space="0" w:color="auto"/>
        <w:bottom w:val="none" w:sz="0" w:space="0" w:color="auto"/>
        <w:right w:val="none" w:sz="0" w:space="0" w:color="auto"/>
      </w:divBdr>
    </w:div>
    <w:div w:id="483931138">
      <w:bodyDiv w:val="1"/>
      <w:marLeft w:val="0"/>
      <w:marRight w:val="0"/>
      <w:marTop w:val="0"/>
      <w:marBottom w:val="0"/>
      <w:divBdr>
        <w:top w:val="none" w:sz="0" w:space="0" w:color="auto"/>
        <w:left w:val="none" w:sz="0" w:space="0" w:color="auto"/>
        <w:bottom w:val="none" w:sz="0" w:space="0" w:color="auto"/>
        <w:right w:val="none" w:sz="0" w:space="0" w:color="auto"/>
      </w:divBdr>
    </w:div>
    <w:div w:id="491987856">
      <w:bodyDiv w:val="1"/>
      <w:marLeft w:val="0"/>
      <w:marRight w:val="0"/>
      <w:marTop w:val="0"/>
      <w:marBottom w:val="0"/>
      <w:divBdr>
        <w:top w:val="none" w:sz="0" w:space="0" w:color="auto"/>
        <w:left w:val="none" w:sz="0" w:space="0" w:color="auto"/>
        <w:bottom w:val="none" w:sz="0" w:space="0" w:color="auto"/>
        <w:right w:val="none" w:sz="0" w:space="0" w:color="auto"/>
      </w:divBdr>
    </w:div>
    <w:div w:id="507643923">
      <w:bodyDiv w:val="1"/>
      <w:marLeft w:val="0"/>
      <w:marRight w:val="0"/>
      <w:marTop w:val="0"/>
      <w:marBottom w:val="0"/>
      <w:divBdr>
        <w:top w:val="none" w:sz="0" w:space="0" w:color="auto"/>
        <w:left w:val="none" w:sz="0" w:space="0" w:color="auto"/>
        <w:bottom w:val="none" w:sz="0" w:space="0" w:color="auto"/>
        <w:right w:val="none" w:sz="0" w:space="0" w:color="auto"/>
      </w:divBdr>
    </w:div>
    <w:div w:id="514003112">
      <w:bodyDiv w:val="1"/>
      <w:marLeft w:val="0"/>
      <w:marRight w:val="0"/>
      <w:marTop w:val="0"/>
      <w:marBottom w:val="0"/>
      <w:divBdr>
        <w:top w:val="none" w:sz="0" w:space="0" w:color="auto"/>
        <w:left w:val="none" w:sz="0" w:space="0" w:color="auto"/>
        <w:bottom w:val="none" w:sz="0" w:space="0" w:color="auto"/>
        <w:right w:val="none" w:sz="0" w:space="0" w:color="auto"/>
      </w:divBdr>
    </w:div>
    <w:div w:id="514072811">
      <w:bodyDiv w:val="1"/>
      <w:marLeft w:val="0"/>
      <w:marRight w:val="0"/>
      <w:marTop w:val="0"/>
      <w:marBottom w:val="0"/>
      <w:divBdr>
        <w:top w:val="none" w:sz="0" w:space="0" w:color="auto"/>
        <w:left w:val="none" w:sz="0" w:space="0" w:color="auto"/>
        <w:bottom w:val="none" w:sz="0" w:space="0" w:color="auto"/>
        <w:right w:val="none" w:sz="0" w:space="0" w:color="auto"/>
      </w:divBdr>
    </w:div>
    <w:div w:id="522473425">
      <w:bodyDiv w:val="1"/>
      <w:marLeft w:val="0"/>
      <w:marRight w:val="0"/>
      <w:marTop w:val="0"/>
      <w:marBottom w:val="0"/>
      <w:divBdr>
        <w:top w:val="none" w:sz="0" w:space="0" w:color="auto"/>
        <w:left w:val="none" w:sz="0" w:space="0" w:color="auto"/>
        <w:bottom w:val="none" w:sz="0" w:space="0" w:color="auto"/>
        <w:right w:val="none" w:sz="0" w:space="0" w:color="auto"/>
      </w:divBdr>
    </w:div>
    <w:div w:id="525171009">
      <w:bodyDiv w:val="1"/>
      <w:marLeft w:val="0"/>
      <w:marRight w:val="0"/>
      <w:marTop w:val="0"/>
      <w:marBottom w:val="0"/>
      <w:divBdr>
        <w:top w:val="none" w:sz="0" w:space="0" w:color="auto"/>
        <w:left w:val="none" w:sz="0" w:space="0" w:color="auto"/>
        <w:bottom w:val="none" w:sz="0" w:space="0" w:color="auto"/>
        <w:right w:val="none" w:sz="0" w:space="0" w:color="auto"/>
      </w:divBdr>
    </w:div>
    <w:div w:id="533082662">
      <w:bodyDiv w:val="1"/>
      <w:marLeft w:val="0"/>
      <w:marRight w:val="0"/>
      <w:marTop w:val="0"/>
      <w:marBottom w:val="0"/>
      <w:divBdr>
        <w:top w:val="none" w:sz="0" w:space="0" w:color="auto"/>
        <w:left w:val="none" w:sz="0" w:space="0" w:color="auto"/>
        <w:bottom w:val="none" w:sz="0" w:space="0" w:color="auto"/>
        <w:right w:val="none" w:sz="0" w:space="0" w:color="auto"/>
      </w:divBdr>
    </w:div>
    <w:div w:id="547038321">
      <w:bodyDiv w:val="1"/>
      <w:marLeft w:val="0"/>
      <w:marRight w:val="0"/>
      <w:marTop w:val="0"/>
      <w:marBottom w:val="0"/>
      <w:divBdr>
        <w:top w:val="none" w:sz="0" w:space="0" w:color="auto"/>
        <w:left w:val="none" w:sz="0" w:space="0" w:color="auto"/>
        <w:bottom w:val="none" w:sz="0" w:space="0" w:color="auto"/>
        <w:right w:val="none" w:sz="0" w:space="0" w:color="auto"/>
      </w:divBdr>
    </w:div>
    <w:div w:id="549464639">
      <w:bodyDiv w:val="1"/>
      <w:marLeft w:val="0"/>
      <w:marRight w:val="0"/>
      <w:marTop w:val="0"/>
      <w:marBottom w:val="0"/>
      <w:divBdr>
        <w:top w:val="none" w:sz="0" w:space="0" w:color="auto"/>
        <w:left w:val="none" w:sz="0" w:space="0" w:color="auto"/>
        <w:bottom w:val="none" w:sz="0" w:space="0" w:color="auto"/>
        <w:right w:val="none" w:sz="0" w:space="0" w:color="auto"/>
      </w:divBdr>
    </w:div>
    <w:div w:id="551698161">
      <w:bodyDiv w:val="1"/>
      <w:marLeft w:val="0"/>
      <w:marRight w:val="0"/>
      <w:marTop w:val="0"/>
      <w:marBottom w:val="0"/>
      <w:divBdr>
        <w:top w:val="none" w:sz="0" w:space="0" w:color="auto"/>
        <w:left w:val="none" w:sz="0" w:space="0" w:color="auto"/>
        <w:bottom w:val="none" w:sz="0" w:space="0" w:color="auto"/>
        <w:right w:val="none" w:sz="0" w:space="0" w:color="auto"/>
      </w:divBdr>
    </w:div>
    <w:div w:id="556551191">
      <w:bodyDiv w:val="1"/>
      <w:marLeft w:val="0"/>
      <w:marRight w:val="0"/>
      <w:marTop w:val="0"/>
      <w:marBottom w:val="0"/>
      <w:divBdr>
        <w:top w:val="none" w:sz="0" w:space="0" w:color="auto"/>
        <w:left w:val="none" w:sz="0" w:space="0" w:color="auto"/>
        <w:bottom w:val="none" w:sz="0" w:space="0" w:color="auto"/>
        <w:right w:val="none" w:sz="0" w:space="0" w:color="auto"/>
      </w:divBdr>
    </w:div>
    <w:div w:id="565608405">
      <w:bodyDiv w:val="1"/>
      <w:marLeft w:val="0"/>
      <w:marRight w:val="0"/>
      <w:marTop w:val="0"/>
      <w:marBottom w:val="0"/>
      <w:divBdr>
        <w:top w:val="none" w:sz="0" w:space="0" w:color="auto"/>
        <w:left w:val="none" w:sz="0" w:space="0" w:color="auto"/>
        <w:bottom w:val="none" w:sz="0" w:space="0" w:color="auto"/>
        <w:right w:val="none" w:sz="0" w:space="0" w:color="auto"/>
      </w:divBdr>
    </w:div>
    <w:div w:id="567154084">
      <w:bodyDiv w:val="1"/>
      <w:marLeft w:val="0"/>
      <w:marRight w:val="0"/>
      <w:marTop w:val="0"/>
      <w:marBottom w:val="0"/>
      <w:divBdr>
        <w:top w:val="none" w:sz="0" w:space="0" w:color="auto"/>
        <w:left w:val="none" w:sz="0" w:space="0" w:color="auto"/>
        <w:bottom w:val="none" w:sz="0" w:space="0" w:color="auto"/>
        <w:right w:val="none" w:sz="0" w:space="0" w:color="auto"/>
      </w:divBdr>
    </w:div>
    <w:div w:id="569509202">
      <w:bodyDiv w:val="1"/>
      <w:marLeft w:val="0"/>
      <w:marRight w:val="0"/>
      <w:marTop w:val="0"/>
      <w:marBottom w:val="0"/>
      <w:divBdr>
        <w:top w:val="none" w:sz="0" w:space="0" w:color="auto"/>
        <w:left w:val="none" w:sz="0" w:space="0" w:color="auto"/>
        <w:bottom w:val="none" w:sz="0" w:space="0" w:color="auto"/>
        <w:right w:val="none" w:sz="0" w:space="0" w:color="auto"/>
      </w:divBdr>
    </w:div>
    <w:div w:id="581522728">
      <w:bodyDiv w:val="1"/>
      <w:marLeft w:val="0"/>
      <w:marRight w:val="0"/>
      <w:marTop w:val="0"/>
      <w:marBottom w:val="0"/>
      <w:divBdr>
        <w:top w:val="none" w:sz="0" w:space="0" w:color="auto"/>
        <w:left w:val="none" w:sz="0" w:space="0" w:color="auto"/>
        <w:bottom w:val="none" w:sz="0" w:space="0" w:color="auto"/>
        <w:right w:val="none" w:sz="0" w:space="0" w:color="auto"/>
      </w:divBdr>
    </w:div>
    <w:div w:id="592205163">
      <w:bodyDiv w:val="1"/>
      <w:marLeft w:val="0"/>
      <w:marRight w:val="0"/>
      <w:marTop w:val="0"/>
      <w:marBottom w:val="0"/>
      <w:divBdr>
        <w:top w:val="none" w:sz="0" w:space="0" w:color="auto"/>
        <w:left w:val="none" w:sz="0" w:space="0" w:color="auto"/>
        <w:bottom w:val="none" w:sz="0" w:space="0" w:color="auto"/>
        <w:right w:val="none" w:sz="0" w:space="0" w:color="auto"/>
      </w:divBdr>
    </w:div>
    <w:div w:id="593393088">
      <w:bodyDiv w:val="1"/>
      <w:marLeft w:val="0"/>
      <w:marRight w:val="0"/>
      <w:marTop w:val="0"/>
      <w:marBottom w:val="0"/>
      <w:divBdr>
        <w:top w:val="none" w:sz="0" w:space="0" w:color="auto"/>
        <w:left w:val="none" w:sz="0" w:space="0" w:color="auto"/>
        <w:bottom w:val="none" w:sz="0" w:space="0" w:color="auto"/>
        <w:right w:val="none" w:sz="0" w:space="0" w:color="auto"/>
      </w:divBdr>
    </w:div>
    <w:div w:id="594677051">
      <w:bodyDiv w:val="1"/>
      <w:marLeft w:val="0"/>
      <w:marRight w:val="0"/>
      <w:marTop w:val="0"/>
      <w:marBottom w:val="0"/>
      <w:divBdr>
        <w:top w:val="none" w:sz="0" w:space="0" w:color="auto"/>
        <w:left w:val="none" w:sz="0" w:space="0" w:color="auto"/>
        <w:bottom w:val="none" w:sz="0" w:space="0" w:color="auto"/>
        <w:right w:val="none" w:sz="0" w:space="0" w:color="auto"/>
      </w:divBdr>
    </w:div>
    <w:div w:id="602885897">
      <w:bodyDiv w:val="1"/>
      <w:marLeft w:val="0"/>
      <w:marRight w:val="0"/>
      <w:marTop w:val="0"/>
      <w:marBottom w:val="0"/>
      <w:divBdr>
        <w:top w:val="none" w:sz="0" w:space="0" w:color="auto"/>
        <w:left w:val="none" w:sz="0" w:space="0" w:color="auto"/>
        <w:bottom w:val="none" w:sz="0" w:space="0" w:color="auto"/>
        <w:right w:val="none" w:sz="0" w:space="0" w:color="auto"/>
      </w:divBdr>
    </w:div>
    <w:div w:id="612396419">
      <w:bodyDiv w:val="1"/>
      <w:marLeft w:val="0"/>
      <w:marRight w:val="0"/>
      <w:marTop w:val="0"/>
      <w:marBottom w:val="0"/>
      <w:divBdr>
        <w:top w:val="none" w:sz="0" w:space="0" w:color="auto"/>
        <w:left w:val="none" w:sz="0" w:space="0" w:color="auto"/>
        <w:bottom w:val="none" w:sz="0" w:space="0" w:color="auto"/>
        <w:right w:val="none" w:sz="0" w:space="0" w:color="auto"/>
      </w:divBdr>
    </w:div>
    <w:div w:id="622736924">
      <w:bodyDiv w:val="1"/>
      <w:marLeft w:val="0"/>
      <w:marRight w:val="0"/>
      <w:marTop w:val="0"/>
      <w:marBottom w:val="0"/>
      <w:divBdr>
        <w:top w:val="none" w:sz="0" w:space="0" w:color="auto"/>
        <w:left w:val="none" w:sz="0" w:space="0" w:color="auto"/>
        <w:bottom w:val="none" w:sz="0" w:space="0" w:color="auto"/>
        <w:right w:val="none" w:sz="0" w:space="0" w:color="auto"/>
      </w:divBdr>
    </w:div>
    <w:div w:id="633682130">
      <w:bodyDiv w:val="1"/>
      <w:marLeft w:val="0"/>
      <w:marRight w:val="0"/>
      <w:marTop w:val="0"/>
      <w:marBottom w:val="0"/>
      <w:divBdr>
        <w:top w:val="none" w:sz="0" w:space="0" w:color="auto"/>
        <w:left w:val="none" w:sz="0" w:space="0" w:color="auto"/>
        <w:bottom w:val="none" w:sz="0" w:space="0" w:color="auto"/>
        <w:right w:val="none" w:sz="0" w:space="0" w:color="auto"/>
      </w:divBdr>
    </w:div>
    <w:div w:id="638000374">
      <w:bodyDiv w:val="1"/>
      <w:marLeft w:val="0"/>
      <w:marRight w:val="0"/>
      <w:marTop w:val="0"/>
      <w:marBottom w:val="0"/>
      <w:divBdr>
        <w:top w:val="none" w:sz="0" w:space="0" w:color="auto"/>
        <w:left w:val="none" w:sz="0" w:space="0" w:color="auto"/>
        <w:bottom w:val="none" w:sz="0" w:space="0" w:color="auto"/>
        <w:right w:val="none" w:sz="0" w:space="0" w:color="auto"/>
      </w:divBdr>
    </w:div>
    <w:div w:id="642926589">
      <w:bodyDiv w:val="1"/>
      <w:marLeft w:val="0"/>
      <w:marRight w:val="0"/>
      <w:marTop w:val="0"/>
      <w:marBottom w:val="0"/>
      <w:divBdr>
        <w:top w:val="none" w:sz="0" w:space="0" w:color="auto"/>
        <w:left w:val="none" w:sz="0" w:space="0" w:color="auto"/>
        <w:bottom w:val="none" w:sz="0" w:space="0" w:color="auto"/>
        <w:right w:val="none" w:sz="0" w:space="0" w:color="auto"/>
      </w:divBdr>
    </w:div>
    <w:div w:id="649405659">
      <w:bodyDiv w:val="1"/>
      <w:marLeft w:val="0"/>
      <w:marRight w:val="0"/>
      <w:marTop w:val="0"/>
      <w:marBottom w:val="0"/>
      <w:divBdr>
        <w:top w:val="none" w:sz="0" w:space="0" w:color="auto"/>
        <w:left w:val="none" w:sz="0" w:space="0" w:color="auto"/>
        <w:bottom w:val="none" w:sz="0" w:space="0" w:color="auto"/>
        <w:right w:val="none" w:sz="0" w:space="0" w:color="auto"/>
      </w:divBdr>
    </w:div>
    <w:div w:id="660810778">
      <w:bodyDiv w:val="1"/>
      <w:marLeft w:val="0"/>
      <w:marRight w:val="0"/>
      <w:marTop w:val="0"/>
      <w:marBottom w:val="0"/>
      <w:divBdr>
        <w:top w:val="none" w:sz="0" w:space="0" w:color="auto"/>
        <w:left w:val="none" w:sz="0" w:space="0" w:color="auto"/>
        <w:bottom w:val="none" w:sz="0" w:space="0" w:color="auto"/>
        <w:right w:val="none" w:sz="0" w:space="0" w:color="auto"/>
      </w:divBdr>
    </w:div>
    <w:div w:id="664741389">
      <w:bodyDiv w:val="1"/>
      <w:marLeft w:val="0"/>
      <w:marRight w:val="0"/>
      <w:marTop w:val="0"/>
      <w:marBottom w:val="0"/>
      <w:divBdr>
        <w:top w:val="none" w:sz="0" w:space="0" w:color="auto"/>
        <w:left w:val="none" w:sz="0" w:space="0" w:color="auto"/>
        <w:bottom w:val="none" w:sz="0" w:space="0" w:color="auto"/>
        <w:right w:val="none" w:sz="0" w:space="0" w:color="auto"/>
      </w:divBdr>
    </w:div>
    <w:div w:id="677541712">
      <w:bodyDiv w:val="1"/>
      <w:marLeft w:val="0"/>
      <w:marRight w:val="0"/>
      <w:marTop w:val="0"/>
      <w:marBottom w:val="0"/>
      <w:divBdr>
        <w:top w:val="none" w:sz="0" w:space="0" w:color="auto"/>
        <w:left w:val="none" w:sz="0" w:space="0" w:color="auto"/>
        <w:bottom w:val="none" w:sz="0" w:space="0" w:color="auto"/>
        <w:right w:val="none" w:sz="0" w:space="0" w:color="auto"/>
      </w:divBdr>
    </w:div>
    <w:div w:id="687175503">
      <w:bodyDiv w:val="1"/>
      <w:marLeft w:val="0"/>
      <w:marRight w:val="0"/>
      <w:marTop w:val="0"/>
      <w:marBottom w:val="0"/>
      <w:divBdr>
        <w:top w:val="none" w:sz="0" w:space="0" w:color="auto"/>
        <w:left w:val="none" w:sz="0" w:space="0" w:color="auto"/>
        <w:bottom w:val="none" w:sz="0" w:space="0" w:color="auto"/>
        <w:right w:val="none" w:sz="0" w:space="0" w:color="auto"/>
      </w:divBdr>
    </w:div>
    <w:div w:id="713846894">
      <w:bodyDiv w:val="1"/>
      <w:marLeft w:val="0"/>
      <w:marRight w:val="0"/>
      <w:marTop w:val="0"/>
      <w:marBottom w:val="0"/>
      <w:divBdr>
        <w:top w:val="none" w:sz="0" w:space="0" w:color="auto"/>
        <w:left w:val="none" w:sz="0" w:space="0" w:color="auto"/>
        <w:bottom w:val="none" w:sz="0" w:space="0" w:color="auto"/>
        <w:right w:val="none" w:sz="0" w:space="0" w:color="auto"/>
      </w:divBdr>
    </w:div>
    <w:div w:id="719020001">
      <w:bodyDiv w:val="1"/>
      <w:marLeft w:val="0"/>
      <w:marRight w:val="0"/>
      <w:marTop w:val="0"/>
      <w:marBottom w:val="0"/>
      <w:divBdr>
        <w:top w:val="none" w:sz="0" w:space="0" w:color="auto"/>
        <w:left w:val="none" w:sz="0" w:space="0" w:color="auto"/>
        <w:bottom w:val="none" w:sz="0" w:space="0" w:color="auto"/>
        <w:right w:val="none" w:sz="0" w:space="0" w:color="auto"/>
      </w:divBdr>
    </w:div>
    <w:div w:id="722677471">
      <w:bodyDiv w:val="1"/>
      <w:marLeft w:val="0"/>
      <w:marRight w:val="0"/>
      <w:marTop w:val="0"/>
      <w:marBottom w:val="0"/>
      <w:divBdr>
        <w:top w:val="none" w:sz="0" w:space="0" w:color="auto"/>
        <w:left w:val="none" w:sz="0" w:space="0" w:color="auto"/>
        <w:bottom w:val="none" w:sz="0" w:space="0" w:color="auto"/>
        <w:right w:val="none" w:sz="0" w:space="0" w:color="auto"/>
      </w:divBdr>
    </w:div>
    <w:div w:id="731544988">
      <w:bodyDiv w:val="1"/>
      <w:marLeft w:val="0"/>
      <w:marRight w:val="0"/>
      <w:marTop w:val="0"/>
      <w:marBottom w:val="0"/>
      <w:divBdr>
        <w:top w:val="none" w:sz="0" w:space="0" w:color="auto"/>
        <w:left w:val="none" w:sz="0" w:space="0" w:color="auto"/>
        <w:bottom w:val="none" w:sz="0" w:space="0" w:color="auto"/>
        <w:right w:val="none" w:sz="0" w:space="0" w:color="auto"/>
      </w:divBdr>
    </w:div>
    <w:div w:id="754088120">
      <w:bodyDiv w:val="1"/>
      <w:marLeft w:val="0"/>
      <w:marRight w:val="0"/>
      <w:marTop w:val="0"/>
      <w:marBottom w:val="0"/>
      <w:divBdr>
        <w:top w:val="none" w:sz="0" w:space="0" w:color="auto"/>
        <w:left w:val="none" w:sz="0" w:space="0" w:color="auto"/>
        <w:bottom w:val="none" w:sz="0" w:space="0" w:color="auto"/>
        <w:right w:val="none" w:sz="0" w:space="0" w:color="auto"/>
      </w:divBdr>
    </w:div>
    <w:div w:id="762993859">
      <w:bodyDiv w:val="1"/>
      <w:marLeft w:val="0"/>
      <w:marRight w:val="0"/>
      <w:marTop w:val="0"/>
      <w:marBottom w:val="0"/>
      <w:divBdr>
        <w:top w:val="none" w:sz="0" w:space="0" w:color="auto"/>
        <w:left w:val="none" w:sz="0" w:space="0" w:color="auto"/>
        <w:bottom w:val="none" w:sz="0" w:space="0" w:color="auto"/>
        <w:right w:val="none" w:sz="0" w:space="0" w:color="auto"/>
      </w:divBdr>
    </w:div>
    <w:div w:id="771246077">
      <w:bodyDiv w:val="1"/>
      <w:marLeft w:val="0"/>
      <w:marRight w:val="0"/>
      <w:marTop w:val="0"/>
      <w:marBottom w:val="0"/>
      <w:divBdr>
        <w:top w:val="none" w:sz="0" w:space="0" w:color="auto"/>
        <w:left w:val="none" w:sz="0" w:space="0" w:color="auto"/>
        <w:bottom w:val="none" w:sz="0" w:space="0" w:color="auto"/>
        <w:right w:val="none" w:sz="0" w:space="0" w:color="auto"/>
      </w:divBdr>
    </w:div>
    <w:div w:id="779840237">
      <w:bodyDiv w:val="1"/>
      <w:marLeft w:val="0"/>
      <w:marRight w:val="0"/>
      <w:marTop w:val="0"/>
      <w:marBottom w:val="0"/>
      <w:divBdr>
        <w:top w:val="none" w:sz="0" w:space="0" w:color="auto"/>
        <w:left w:val="none" w:sz="0" w:space="0" w:color="auto"/>
        <w:bottom w:val="none" w:sz="0" w:space="0" w:color="auto"/>
        <w:right w:val="none" w:sz="0" w:space="0" w:color="auto"/>
      </w:divBdr>
    </w:div>
    <w:div w:id="781533076">
      <w:bodyDiv w:val="1"/>
      <w:marLeft w:val="0"/>
      <w:marRight w:val="0"/>
      <w:marTop w:val="0"/>
      <w:marBottom w:val="0"/>
      <w:divBdr>
        <w:top w:val="none" w:sz="0" w:space="0" w:color="auto"/>
        <w:left w:val="none" w:sz="0" w:space="0" w:color="auto"/>
        <w:bottom w:val="none" w:sz="0" w:space="0" w:color="auto"/>
        <w:right w:val="none" w:sz="0" w:space="0" w:color="auto"/>
      </w:divBdr>
    </w:div>
    <w:div w:id="789592381">
      <w:bodyDiv w:val="1"/>
      <w:marLeft w:val="0"/>
      <w:marRight w:val="0"/>
      <w:marTop w:val="0"/>
      <w:marBottom w:val="0"/>
      <w:divBdr>
        <w:top w:val="none" w:sz="0" w:space="0" w:color="auto"/>
        <w:left w:val="none" w:sz="0" w:space="0" w:color="auto"/>
        <w:bottom w:val="none" w:sz="0" w:space="0" w:color="auto"/>
        <w:right w:val="none" w:sz="0" w:space="0" w:color="auto"/>
      </w:divBdr>
      <w:divsChild>
        <w:div w:id="1169634222">
          <w:marLeft w:val="0"/>
          <w:marRight w:val="0"/>
          <w:marTop w:val="0"/>
          <w:marBottom w:val="0"/>
          <w:divBdr>
            <w:top w:val="none" w:sz="0" w:space="0" w:color="auto"/>
            <w:left w:val="none" w:sz="0" w:space="0" w:color="auto"/>
            <w:bottom w:val="none" w:sz="0" w:space="0" w:color="auto"/>
            <w:right w:val="none" w:sz="0" w:space="0" w:color="auto"/>
          </w:divBdr>
          <w:divsChild>
            <w:div w:id="221261545">
              <w:marLeft w:val="0"/>
              <w:marRight w:val="0"/>
              <w:marTop w:val="0"/>
              <w:marBottom w:val="0"/>
              <w:divBdr>
                <w:top w:val="none" w:sz="0" w:space="0" w:color="auto"/>
                <w:left w:val="none" w:sz="0" w:space="0" w:color="auto"/>
                <w:bottom w:val="none" w:sz="0" w:space="0" w:color="auto"/>
                <w:right w:val="none" w:sz="0" w:space="0" w:color="auto"/>
              </w:divBdr>
              <w:divsChild>
                <w:div w:id="1189639837">
                  <w:marLeft w:val="0"/>
                  <w:marRight w:val="0"/>
                  <w:marTop w:val="0"/>
                  <w:marBottom w:val="0"/>
                  <w:divBdr>
                    <w:top w:val="none" w:sz="0" w:space="0" w:color="auto"/>
                    <w:left w:val="none" w:sz="0" w:space="0" w:color="auto"/>
                    <w:bottom w:val="none" w:sz="0" w:space="0" w:color="auto"/>
                    <w:right w:val="none" w:sz="0" w:space="0" w:color="auto"/>
                  </w:divBdr>
                  <w:divsChild>
                    <w:div w:id="1877547992">
                      <w:marLeft w:val="0"/>
                      <w:marRight w:val="0"/>
                      <w:marTop w:val="0"/>
                      <w:marBottom w:val="0"/>
                      <w:divBdr>
                        <w:top w:val="none" w:sz="0" w:space="0" w:color="auto"/>
                        <w:left w:val="none" w:sz="0" w:space="0" w:color="auto"/>
                        <w:bottom w:val="none" w:sz="0" w:space="0" w:color="auto"/>
                        <w:right w:val="none" w:sz="0" w:space="0" w:color="auto"/>
                      </w:divBdr>
                      <w:divsChild>
                        <w:div w:id="1569806108">
                          <w:marLeft w:val="0"/>
                          <w:marRight w:val="0"/>
                          <w:marTop w:val="0"/>
                          <w:marBottom w:val="0"/>
                          <w:divBdr>
                            <w:top w:val="none" w:sz="0" w:space="0" w:color="auto"/>
                            <w:left w:val="none" w:sz="0" w:space="0" w:color="auto"/>
                            <w:bottom w:val="none" w:sz="0" w:space="0" w:color="auto"/>
                            <w:right w:val="none" w:sz="0" w:space="0" w:color="auto"/>
                          </w:divBdr>
                          <w:divsChild>
                            <w:div w:id="1159346733">
                              <w:marLeft w:val="0"/>
                              <w:marRight w:val="0"/>
                              <w:marTop w:val="0"/>
                              <w:marBottom w:val="0"/>
                              <w:divBdr>
                                <w:top w:val="none" w:sz="0" w:space="0" w:color="auto"/>
                                <w:left w:val="none" w:sz="0" w:space="0" w:color="auto"/>
                                <w:bottom w:val="none" w:sz="0" w:space="0" w:color="auto"/>
                                <w:right w:val="none" w:sz="0" w:space="0" w:color="auto"/>
                              </w:divBdr>
                              <w:divsChild>
                                <w:div w:id="1638754343">
                                  <w:marLeft w:val="0"/>
                                  <w:marRight w:val="0"/>
                                  <w:marTop w:val="0"/>
                                  <w:marBottom w:val="0"/>
                                  <w:divBdr>
                                    <w:top w:val="none" w:sz="0" w:space="0" w:color="auto"/>
                                    <w:left w:val="none" w:sz="0" w:space="0" w:color="auto"/>
                                    <w:bottom w:val="none" w:sz="0" w:space="0" w:color="auto"/>
                                    <w:right w:val="none" w:sz="0" w:space="0" w:color="auto"/>
                                  </w:divBdr>
                                  <w:divsChild>
                                    <w:div w:id="1172061784">
                                      <w:marLeft w:val="0"/>
                                      <w:marRight w:val="0"/>
                                      <w:marTop w:val="0"/>
                                      <w:marBottom w:val="0"/>
                                      <w:divBdr>
                                        <w:top w:val="none" w:sz="0" w:space="0" w:color="auto"/>
                                        <w:left w:val="none" w:sz="0" w:space="0" w:color="auto"/>
                                        <w:bottom w:val="none" w:sz="0" w:space="0" w:color="auto"/>
                                        <w:right w:val="none" w:sz="0" w:space="0" w:color="auto"/>
                                      </w:divBdr>
                                      <w:divsChild>
                                        <w:div w:id="1664429681">
                                          <w:marLeft w:val="0"/>
                                          <w:marRight w:val="0"/>
                                          <w:marTop w:val="0"/>
                                          <w:marBottom w:val="0"/>
                                          <w:divBdr>
                                            <w:top w:val="none" w:sz="0" w:space="0" w:color="auto"/>
                                            <w:left w:val="none" w:sz="0" w:space="0" w:color="auto"/>
                                            <w:bottom w:val="none" w:sz="0" w:space="0" w:color="auto"/>
                                            <w:right w:val="none" w:sz="0" w:space="0" w:color="auto"/>
                                          </w:divBdr>
                                          <w:divsChild>
                                            <w:div w:id="1480801757">
                                              <w:marLeft w:val="0"/>
                                              <w:marRight w:val="0"/>
                                              <w:marTop w:val="0"/>
                                              <w:marBottom w:val="0"/>
                                              <w:divBdr>
                                                <w:top w:val="none" w:sz="0" w:space="0" w:color="auto"/>
                                                <w:left w:val="none" w:sz="0" w:space="0" w:color="auto"/>
                                                <w:bottom w:val="none" w:sz="0" w:space="0" w:color="auto"/>
                                                <w:right w:val="none" w:sz="0" w:space="0" w:color="auto"/>
                                              </w:divBdr>
                                              <w:divsChild>
                                                <w:div w:id="1278639625">
                                                  <w:marLeft w:val="0"/>
                                                  <w:marRight w:val="0"/>
                                                  <w:marTop w:val="0"/>
                                                  <w:marBottom w:val="0"/>
                                                  <w:divBdr>
                                                    <w:top w:val="none" w:sz="0" w:space="0" w:color="auto"/>
                                                    <w:left w:val="none" w:sz="0" w:space="0" w:color="auto"/>
                                                    <w:bottom w:val="none" w:sz="0" w:space="0" w:color="auto"/>
                                                    <w:right w:val="none" w:sz="0" w:space="0" w:color="auto"/>
                                                  </w:divBdr>
                                                  <w:divsChild>
                                                    <w:div w:id="1665281923">
                                                      <w:marLeft w:val="0"/>
                                                      <w:marRight w:val="0"/>
                                                      <w:marTop w:val="0"/>
                                                      <w:marBottom w:val="0"/>
                                                      <w:divBdr>
                                                        <w:top w:val="none" w:sz="0" w:space="0" w:color="auto"/>
                                                        <w:left w:val="none" w:sz="0" w:space="0" w:color="auto"/>
                                                        <w:bottom w:val="none" w:sz="0" w:space="0" w:color="auto"/>
                                                        <w:right w:val="none" w:sz="0" w:space="0" w:color="auto"/>
                                                      </w:divBdr>
                                                      <w:divsChild>
                                                        <w:div w:id="1017577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96216230">
      <w:bodyDiv w:val="1"/>
      <w:marLeft w:val="0"/>
      <w:marRight w:val="0"/>
      <w:marTop w:val="0"/>
      <w:marBottom w:val="0"/>
      <w:divBdr>
        <w:top w:val="none" w:sz="0" w:space="0" w:color="auto"/>
        <w:left w:val="none" w:sz="0" w:space="0" w:color="auto"/>
        <w:bottom w:val="none" w:sz="0" w:space="0" w:color="auto"/>
        <w:right w:val="none" w:sz="0" w:space="0" w:color="auto"/>
      </w:divBdr>
    </w:div>
    <w:div w:id="802187901">
      <w:bodyDiv w:val="1"/>
      <w:marLeft w:val="0"/>
      <w:marRight w:val="0"/>
      <w:marTop w:val="0"/>
      <w:marBottom w:val="0"/>
      <w:divBdr>
        <w:top w:val="none" w:sz="0" w:space="0" w:color="auto"/>
        <w:left w:val="none" w:sz="0" w:space="0" w:color="auto"/>
        <w:bottom w:val="none" w:sz="0" w:space="0" w:color="auto"/>
        <w:right w:val="none" w:sz="0" w:space="0" w:color="auto"/>
      </w:divBdr>
    </w:div>
    <w:div w:id="804809950">
      <w:bodyDiv w:val="1"/>
      <w:marLeft w:val="0"/>
      <w:marRight w:val="0"/>
      <w:marTop w:val="0"/>
      <w:marBottom w:val="0"/>
      <w:divBdr>
        <w:top w:val="none" w:sz="0" w:space="0" w:color="auto"/>
        <w:left w:val="none" w:sz="0" w:space="0" w:color="auto"/>
        <w:bottom w:val="none" w:sz="0" w:space="0" w:color="auto"/>
        <w:right w:val="none" w:sz="0" w:space="0" w:color="auto"/>
      </w:divBdr>
    </w:div>
    <w:div w:id="813987170">
      <w:bodyDiv w:val="1"/>
      <w:marLeft w:val="0"/>
      <w:marRight w:val="0"/>
      <w:marTop w:val="0"/>
      <w:marBottom w:val="0"/>
      <w:divBdr>
        <w:top w:val="none" w:sz="0" w:space="0" w:color="auto"/>
        <w:left w:val="none" w:sz="0" w:space="0" w:color="auto"/>
        <w:bottom w:val="none" w:sz="0" w:space="0" w:color="auto"/>
        <w:right w:val="none" w:sz="0" w:space="0" w:color="auto"/>
      </w:divBdr>
    </w:div>
    <w:div w:id="823592892">
      <w:bodyDiv w:val="1"/>
      <w:marLeft w:val="0"/>
      <w:marRight w:val="0"/>
      <w:marTop w:val="0"/>
      <w:marBottom w:val="0"/>
      <w:divBdr>
        <w:top w:val="none" w:sz="0" w:space="0" w:color="auto"/>
        <w:left w:val="none" w:sz="0" w:space="0" w:color="auto"/>
        <w:bottom w:val="none" w:sz="0" w:space="0" w:color="auto"/>
        <w:right w:val="none" w:sz="0" w:space="0" w:color="auto"/>
      </w:divBdr>
    </w:div>
    <w:div w:id="830945008">
      <w:bodyDiv w:val="1"/>
      <w:marLeft w:val="0"/>
      <w:marRight w:val="0"/>
      <w:marTop w:val="0"/>
      <w:marBottom w:val="0"/>
      <w:divBdr>
        <w:top w:val="none" w:sz="0" w:space="0" w:color="auto"/>
        <w:left w:val="none" w:sz="0" w:space="0" w:color="auto"/>
        <w:bottom w:val="none" w:sz="0" w:space="0" w:color="auto"/>
        <w:right w:val="none" w:sz="0" w:space="0" w:color="auto"/>
      </w:divBdr>
    </w:div>
    <w:div w:id="840777945">
      <w:bodyDiv w:val="1"/>
      <w:marLeft w:val="0"/>
      <w:marRight w:val="0"/>
      <w:marTop w:val="0"/>
      <w:marBottom w:val="0"/>
      <w:divBdr>
        <w:top w:val="none" w:sz="0" w:space="0" w:color="auto"/>
        <w:left w:val="none" w:sz="0" w:space="0" w:color="auto"/>
        <w:bottom w:val="none" w:sz="0" w:space="0" w:color="auto"/>
        <w:right w:val="none" w:sz="0" w:space="0" w:color="auto"/>
      </w:divBdr>
    </w:div>
    <w:div w:id="844976185">
      <w:bodyDiv w:val="1"/>
      <w:marLeft w:val="0"/>
      <w:marRight w:val="0"/>
      <w:marTop w:val="0"/>
      <w:marBottom w:val="0"/>
      <w:divBdr>
        <w:top w:val="none" w:sz="0" w:space="0" w:color="auto"/>
        <w:left w:val="none" w:sz="0" w:space="0" w:color="auto"/>
        <w:bottom w:val="none" w:sz="0" w:space="0" w:color="auto"/>
        <w:right w:val="none" w:sz="0" w:space="0" w:color="auto"/>
      </w:divBdr>
    </w:div>
    <w:div w:id="845242221">
      <w:bodyDiv w:val="1"/>
      <w:marLeft w:val="0"/>
      <w:marRight w:val="0"/>
      <w:marTop w:val="0"/>
      <w:marBottom w:val="0"/>
      <w:divBdr>
        <w:top w:val="none" w:sz="0" w:space="0" w:color="auto"/>
        <w:left w:val="none" w:sz="0" w:space="0" w:color="auto"/>
        <w:bottom w:val="none" w:sz="0" w:space="0" w:color="auto"/>
        <w:right w:val="none" w:sz="0" w:space="0" w:color="auto"/>
      </w:divBdr>
    </w:div>
    <w:div w:id="854803168">
      <w:bodyDiv w:val="1"/>
      <w:marLeft w:val="0"/>
      <w:marRight w:val="0"/>
      <w:marTop w:val="0"/>
      <w:marBottom w:val="0"/>
      <w:divBdr>
        <w:top w:val="none" w:sz="0" w:space="0" w:color="auto"/>
        <w:left w:val="none" w:sz="0" w:space="0" w:color="auto"/>
        <w:bottom w:val="none" w:sz="0" w:space="0" w:color="auto"/>
        <w:right w:val="none" w:sz="0" w:space="0" w:color="auto"/>
      </w:divBdr>
    </w:div>
    <w:div w:id="873345669">
      <w:bodyDiv w:val="1"/>
      <w:marLeft w:val="0"/>
      <w:marRight w:val="0"/>
      <w:marTop w:val="0"/>
      <w:marBottom w:val="0"/>
      <w:divBdr>
        <w:top w:val="none" w:sz="0" w:space="0" w:color="auto"/>
        <w:left w:val="none" w:sz="0" w:space="0" w:color="auto"/>
        <w:bottom w:val="none" w:sz="0" w:space="0" w:color="auto"/>
        <w:right w:val="none" w:sz="0" w:space="0" w:color="auto"/>
      </w:divBdr>
    </w:div>
    <w:div w:id="886185725">
      <w:bodyDiv w:val="1"/>
      <w:marLeft w:val="0"/>
      <w:marRight w:val="0"/>
      <w:marTop w:val="0"/>
      <w:marBottom w:val="0"/>
      <w:divBdr>
        <w:top w:val="none" w:sz="0" w:space="0" w:color="auto"/>
        <w:left w:val="none" w:sz="0" w:space="0" w:color="auto"/>
        <w:bottom w:val="none" w:sz="0" w:space="0" w:color="auto"/>
        <w:right w:val="none" w:sz="0" w:space="0" w:color="auto"/>
      </w:divBdr>
    </w:div>
    <w:div w:id="905528560">
      <w:bodyDiv w:val="1"/>
      <w:marLeft w:val="0"/>
      <w:marRight w:val="0"/>
      <w:marTop w:val="0"/>
      <w:marBottom w:val="0"/>
      <w:divBdr>
        <w:top w:val="none" w:sz="0" w:space="0" w:color="auto"/>
        <w:left w:val="none" w:sz="0" w:space="0" w:color="auto"/>
        <w:bottom w:val="none" w:sz="0" w:space="0" w:color="auto"/>
        <w:right w:val="none" w:sz="0" w:space="0" w:color="auto"/>
      </w:divBdr>
    </w:div>
    <w:div w:id="922496233">
      <w:bodyDiv w:val="1"/>
      <w:marLeft w:val="0"/>
      <w:marRight w:val="0"/>
      <w:marTop w:val="0"/>
      <w:marBottom w:val="0"/>
      <w:divBdr>
        <w:top w:val="none" w:sz="0" w:space="0" w:color="auto"/>
        <w:left w:val="none" w:sz="0" w:space="0" w:color="auto"/>
        <w:bottom w:val="none" w:sz="0" w:space="0" w:color="auto"/>
        <w:right w:val="none" w:sz="0" w:space="0" w:color="auto"/>
      </w:divBdr>
    </w:div>
    <w:div w:id="936868042">
      <w:bodyDiv w:val="1"/>
      <w:marLeft w:val="0"/>
      <w:marRight w:val="0"/>
      <w:marTop w:val="0"/>
      <w:marBottom w:val="0"/>
      <w:divBdr>
        <w:top w:val="none" w:sz="0" w:space="0" w:color="auto"/>
        <w:left w:val="none" w:sz="0" w:space="0" w:color="auto"/>
        <w:bottom w:val="none" w:sz="0" w:space="0" w:color="auto"/>
        <w:right w:val="none" w:sz="0" w:space="0" w:color="auto"/>
      </w:divBdr>
    </w:div>
    <w:div w:id="948659185">
      <w:bodyDiv w:val="1"/>
      <w:marLeft w:val="0"/>
      <w:marRight w:val="0"/>
      <w:marTop w:val="0"/>
      <w:marBottom w:val="0"/>
      <w:divBdr>
        <w:top w:val="none" w:sz="0" w:space="0" w:color="auto"/>
        <w:left w:val="none" w:sz="0" w:space="0" w:color="auto"/>
        <w:bottom w:val="none" w:sz="0" w:space="0" w:color="auto"/>
        <w:right w:val="none" w:sz="0" w:space="0" w:color="auto"/>
      </w:divBdr>
    </w:div>
    <w:div w:id="954019493">
      <w:bodyDiv w:val="1"/>
      <w:marLeft w:val="0"/>
      <w:marRight w:val="0"/>
      <w:marTop w:val="0"/>
      <w:marBottom w:val="0"/>
      <w:divBdr>
        <w:top w:val="none" w:sz="0" w:space="0" w:color="auto"/>
        <w:left w:val="none" w:sz="0" w:space="0" w:color="auto"/>
        <w:bottom w:val="none" w:sz="0" w:space="0" w:color="auto"/>
        <w:right w:val="none" w:sz="0" w:space="0" w:color="auto"/>
      </w:divBdr>
    </w:div>
    <w:div w:id="956369067">
      <w:bodyDiv w:val="1"/>
      <w:marLeft w:val="0"/>
      <w:marRight w:val="0"/>
      <w:marTop w:val="0"/>
      <w:marBottom w:val="0"/>
      <w:divBdr>
        <w:top w:val="none" w:sz="0" w:space="0" w:color="auto"/>
        <w:left w:val="none" w:sz="0" w:space="0" w:color="auto"/>
        <w:bottom w:val="none" w:sz="0" w:space="0" w:color="auto"/>
        <w:right w:val="none" w:sz="0" w:space="0" w:color="auto"/>
      </w:divBdr>
    </w:div>
    <w:div w:id="959531897">
      <w:bodyDiv w:val="1"/>
      <w:marLeft w:val="0"/>
      <w:marRight w:val="0"/>
      <w:marTop w:val="0"/>
      <w:marBottom w:val="0"/>
      <w:divBdr>
        <w:top w:val="none" w:sz="0" w:space="0" w:color="auto"/>
        <w:left w:val="none" w:sz="0" w:space="0" w:color="auto"/>
        <w:bottom w:val="none" w:sz="0" w:space="0" w:color="auto"/>
        <w:right w:val="none" w:sz="0" w:space="0" w:color="auto"/>
      </w:divBdr>
    </w:div>
    <w:div w:id="991714426">
      <w:bodyDiv w:val="1"/>
      <w:marLeft w:val="0"/>
      <w:marRight w:val="0"/>
      <w:marTop w:val="0"/>
      <w:marBottom w:val="0"/>
      <w:divBdr>
        <w:top w:val="none" w:sz="0" w:space="0" w:color="auto"/>
        <w:left w:val="none" w:sz="0" w:space="0" w:color="auto"/>
        <w:bottom w:val="none" w:sz="0" w:space="0" w:color="auto"/>
        <w:right w:val="none" w:sz="0" w:space="0" w:color="auto"/>
      </w:divBdr>
    </w:div>
    <w:div w:id="994190316">
      <w:bodyDiv w:val="1"/>
      <w:marLeft w:val="0"/>
      <w:marRight w:val="0"/>
      <w:marTop w:val="0"/>
      <w:marBottom w:val="0"/>
      <w:divBdr>
        <w:top w:val="none" w:sz="0" w:space="0" w:color="auto"/>
        <w:left w:val="none" w:sz="0" w:space="0" w:color="auto"/>
        <w:bottom w:val="none" w:sz="0" w:space="0" w:color="auto"/>
        <w:right w:val="none" w:sz="0" w:space="0" w:color="auto"/>
      </w:divBdr>
    </w:div>
    <w:div w:id="1008798231">
      <w:bodyDiv w:val="1"/>
      <w:marLeft w:val="0"/>
      <w:marRight w:val="0"/>
      <w:marTop w:val="0"/>
      <w:marBottom w:val="0"/>
      <w:divBdr>
        <w:top w:val="none" w:sz="0" w:space="0" w:color="auto"/>
        <w:left w:val="none" w:sz="0" w:space="0" w:color="auto"/>
        <w:bottom w:val="none" w:sz="0" w:space="0" w:color="auto"/>
        <w:right w:val="none" w:sz="0" w:space="0" w:color="auto"/>
      </w:divBdr>
    </w:div>
    <w:div w:id="1018658389">
      <w:bodyDiv w:val="1"/>
      <w:marLeft w:val="0"/>
      <w:marRight w:val="0"/>
      <w:marTop w:val="0"/>
      <w:marBottom w:val="0"/>
      <w:divBdr>
        <w:top w:val="none" w:sz="0" w:space="0" w:color="auto"/>
        <w:left w:val="none" w:sz="0" w:space="0" w:color="auto"/>
        <w:bottom w:val="none" w:sz="0" w:space="0" w:color="auto"/>
        <w:right w:val="none" w:sz="0" w:space="0" w:color="auto"/>
      </w:divBdr>
    </w:div>
    <w:div w:id="1028604085">
      <w:bodyDiv w:val="1"/>
      <w:marLeft w:val="0"/>
      <w:marRight w:val="0"/>
      <w:marTop w:val="0"/>
      <w:marBottom w:val="0"/>
      <w:divBdr>
        <w:top w:val="none" w:sz="0" w:space="0" w:color="auto"/>
        <w:left w:val="none" w:sz="0" w:space="0" w:color="auto"/>
        <w:bottom w:val="none" w:sz="0" w:space="0" w:color="auto"/>
        <w:right w:val="none" w:sz="0" w:space="0" w:color="auto"/>
      </w:divBdr>
    </w:div>
    <w:div w:id="1030225984">
      <w:bodyDiv w:val="1"/>
      <w:marLeft w:val="0"/>
      <w:marRight w:val="0"/>
      <w:marTop w:val="0"/>
      <w:marBottom w:val="0"/>
      <w:divBdr>
        <w:top w:val="none" w:sz="0" w:space="0" w:color="auto"/>
        <w:left w:val="none" w:sz="0" w:space="0" w:color="auto"/>
        <w:bottom w:val="none" w:sz="0" w:space="0" w:color="auto"/>
        <w:right w:val="none" w:sz="0" w:space="0" w:color="auto"/>
      </w:divBdr>
    </w:div>
    <w:div w:id="1040983285">
      <w:bodyDiv w:val="1"/>
      <w:marLeft w:val="0"/>
      <w:marRight w:val="0"/>
      <w:marTop w:val="0"/>
      <w:marBottom w:val="0"/>
      <w:divBdr>
        <w:top w:val="none" w:sz="0" w:space="0" w:color="auto"/>
        <w:left w:val="none" w:sz="0" w:space="0" w:color="auto"/>
        <w:bottom w:val="none" w:sz="0" w:space="0" w:color="auto"/>
        <w:right w:val="none" w:sz="0" w:space="0" w:color="auto"/>
      </w:divBdr>
    </w:div>
    <w:div w:id="1046178199">
      <w:bodyDiv w:val="1"/>
      <w:marLeft w:val="0"/>
      <w:marRight w:val="0"/>
      <w:marTop w:val="0"/>
      <w:marBottom w:val="0"/>
      <w:divBdr>
        <w:top w:val="none" w:sz="0" w:space="0" w:color="auto"/>
        <w:left w:val="none" w:sz="0" w:space="0" w:color="auto"/>
        <w:bottom w:val="none" w:sz="0" w:space="0" w:color="auto"/>
        <w:right w:val="none" w:sz="0" w:space="0" w:color="auto"/>
      </w:divBdr>
    </w:div>
    <w:div w:id="1047140940">
      <w:bodyDiv w:val="1"/>
      <w:marLeft w:val="0"/>
      <w:marRight w:val="0"/>
      <w:marTop w:val="0"/>
      <w:marBottom w:val="0"/>
      <w:divBdr>
        <w:top w:val="none" w:sz="0" w:space="0" w:color="auto"/>
        <w:left w:val="none" w:sz="0" w:space="0" w:color="auto"/>
        <w:bottom w:val="none" w:sz="0" w:space="0" w:color="auto"/>
        <w:right w:val="none" w:sz="0" w:space="0" w:color="auto"/>
      </w:divBdr>
    </w:div>
    <w:div w:id="1061101761">
      <w:bodyDiv w:val="1"/>
      <w:marLeft w:val="0"/>
      <w:marRight w:val="0"/>
      <w:marTop w:val="0"/>
      <w:marBottom w:val="0"/>
      <w:divBdr>
        <w:top w:val="none" w:sz="0" w:space="0" w:color="auto"/>
        <w:left w:val="none" w:sz="0" w:space="0" w:color="auto"/>
        <w:bottom w:val="none" w:sz="0" w:space="0" w:color="auto"/>
        <w:right w:val="none" w:sz="0" w:space="0" w:color="auto"/>
      </w:divBdr>
    </w:div>
    <w:div w:id="1064454822">
      <w:bodyDiv w:val="1"/>
      <w:marLeft w:val="0"/>
      <w:marRight w:val="0"/>
      <w:marTop w:val="0"/>
      <w:marBottom w:val="0"/>
      <w:divBdr>
        <w:top w:val="none" w:sz="0" w:space="0" w:color="auto"/>
        <w:left w:val="none" w:sz="0" w:space="0" w:color="auto"/>
        <w:bottom w:val="none" w:sz="0" w:space="0" w:color="auto"/>
        <w:right w:val="none" w:sz="0" w:space="0" w:color="auto"/>
      </w:divBdr>
    </w:div>
    <w:div w:id="1071463758">
      <w:bodyDiv w:val="1"/>
      <w:marLeft w:val="0"/>
      <w:marRight w:val="0"/>
      <w:marTop w:val="0"/>
      <w:marBottom w:val="0"/>
      <w:divBdr>
        <w:top w:val="none" w:sz="0" w:space="0" w:color="auto"/>
        <w:left w:val="none" w:sz="0" w:space="0" w:color="auto"/>
        <w:bottom w:val="none" w:sz="0" w:space="0" w:color="auto"/>
        <w:right w:val="none" w:sz="0" w:space="0" w:color="auto"/>
      </w:divBdr>
    </w:div>
    <w:div w:id="1079064209">
      <w:bodyDiv w:val="1"/>
      <w:marLeft w:val="0"/>
      <w:marRight w:val="0"/>
      <w:marTop w:val="0"/>
      <w:marBottom w:val="0"/>
      <w:divBdr>
        <w:top w:val="none" w:sz="0" w:space="0" w:color="auto"/>
        <w:left w:val="none" w:sz="0" w:space="0" w:color="auto"/>
        <w:bottom w:val="none" w:sz="0" w:space="0" w:color="auto"/>
        <w:right w:val="none" w:sz="0" w:space="0" w:color="auto"/>
      </w:divBdr>
    </w:div>
    <w:div w:id="1093865238">
      <w:bodyDiv w:val="1"/>
      <w:marLeft w:val="0"/>
      <w:marRight w:val="0"/>
      <w:marTop w:val="0"/>
      <w:marBottom w:val="0"/>
      <w:divBdr>
        <w:top w:val="none" w:sz="0" w:space="0" w:color="auto"/>
        <w:left w:val="none" w:sz="0" w:space="0" w:color="auto"/>
        <w:bottom w:val="none" w:sz="0" w:space="0" w:color="auto"/>
        <w:right w:val="none" w:sz="0" w:space="0" w:color="auto"/>
      </w:divBdr>
      <w:divsChild>
        <w:div w:id="2009358838">
          <w:marLeft w:val="0"/>
          <w:marRight w:val="0"/>
          <w:marTop w:val="0"/>
          <w:marBottom w:val="0"/>
          <w:divBdr>
            <w:top w:val="none" w:sz="0" w:space="0" w:color="auto"/>
            <w:left w:val="none" w:sz="0" w:space="0" w:color="auto"/>
            <w:bottom w:val="none" w:sz="0" w:space="0" w:color="auto"/>
            <w:right w:val="none" w:sz="0" w:space="0" w:color="auto"/>
          </w:divBdr>
          <w:divsChild>
            <w:div w:id="1824422960">
              <w:marLeft w:val="0"/>
              <w:marRight w:val="0"/>
              <w:marTop w:val="0"/>
              <w:marBottom w:val="0"/>
              <w:divBdr>
                <w:top w:val="none" w:sz="0" w:space="0" w:color="auto"/>
                <w:left w:val="none" w:sz="0" w:space="0" w:color="auto"/>
                <w:bottom w:val="none" w:sz="0" w:space="0" w:color="auto"/>
                <w:right w:val="none" w:sz="0" w:space="0" w:color="auto"/>
              </w:divBdr>
              <w:divsChild>
                <w:div w:id="35005105">
                  <w:marLeft w:val="0"/>
                  <w:marRight w:val="0"/>
                  <w:marTop w:val="0"/>
                  <w:marBottom w:val="0"/>
                  <w:divBdr>
                    <w:top w:val="none" w:sz="0" w:space="0" w:color="auto"/>
                    <w:left w:val="none" w:sz="0" w:space="0" w:color="auto"/>
                    <w:bottom w:val="none" w:sz="0" w:space="0" w:color="auto"/>
                    <w:right w:val="none" w:sz="0" w:space="0" w:color="auto"/>
                  </w:divBdr>
                  <w:divsChild>
                    <w:div w:id="12732021">
                      <w:marLeft w:val="0"/>
                      <w:marRight w:val="0"/>
                      <w:marTop w:val="0"/>
                      <w:marBottom w:val="0"/>
                      <w:divBdr>
                        <w:top w:val="none" w:sz="0" w:space="0" w:color="auto"/>
                        <w:left w:val="none" w:sz="0" w:space="0" w:color="auto"/>
                        <w:bottom w:val="none" w:sz="0" w:space="0" w:color="auto"/>
                        <w:right w:val="none" w:sz="0" w:space="0" w:color="auto"/>
                      </w:divBdr>
                      <w:divsChild>
                        <w:div w:id="734428726">
                          <w:marLeft w:val="0"/>
                          <w:marRight w:val="0"/>
                          <w:marTop w:val="0"/>
                          <w:marBottom w:val="0"/>
                          <w:divBdr>
                            <w:top w:val="none" w:sz="0" w:space="0" w:color="auto"/>
                            <w:left w:val="none" w:sz="0" w:space="0" w:color="auto"/>
                            <w:bottom w:val="none" w:sz="0" w:space="0" w:color="auto"/>
                            <w:right w:val="none" w:sz="0" w:space="0" w:color="auto"/>
                          </w:divBdr>
                        </w:div>
                      </w:divsChild>
                    </w:div>
                    <w:div w:id="111749641">
                      <w:marLeft w:val="0"/>
                      <w:marRight w:val="0"/>
                      <w:marTop w:val="0"/>
                      <w:marBottom w:val="0"/>
                      <w:divBdr>
                        <w:top w:val="none" w:sz="0" w:space="0" w:color="auto"/>
                        <w:left w:val="none" w:sz="0" w:space="0" w:color="auto"/>
                        <w:bottom w:val="none" w:sz="0" w:space="0" w:color="auto"/>
                        <w:right w:val="none" w:sz="0" w:space="0" w:color="auto"/>
                      </w:divBdr>
                      <w:divsChild>
                        <w:div w:id="240412260">
                          <w:marLeft w:val="0"/>
                          <w:marRight w:val="0"/>
                          <w:marTop w:val="0"/>
                          <w:marBottom w:val="0"/>
                          <w:divBdr>
                            <w:top w:val="none" w:sz="0" w:space="0" w:color="auto"/>
                            <w:left w:val="none" w:sz="0" w:space="0" w:color="auto"/>
                            <w:bottom w:val="none" w:sz="0" w:space="0" w:color="auto"/>
                            <w:right w:val="none" w:sz="0" w:space="0" w:color="auto"/>
                          </w:divBdr>
                        </w:div>
                        <w:div w:id="311952485">
                          <w:marLeft w:val="0"/>
                          <w:marRight w:val="0"/>
                          <w:marTop w:val="0"/>
                          <w:marBottom w:val="0"/>
                          <w:divBdr>
                            <w:top w:val="none" w:sz="0" w:space="0" w:color="auto"/>
                            <w:left w:val="none" w:sz="0" w:space="0" w:color="auto"/>
                            <w:bottom w:val="none" w:sz="0" w:space="0" w:color="auto"/>
                            <w:right w:val="none" w:sz="0" w:space="0" w:color="auto"/>
                          </w:divBdr>
                        </w:div>
                        <w:div w:id="581648899">
                          <w:marLeft w:val="0"/>
                          <w:marRight w:val="0"/>
                          <w:marTop w:val="0"/>
                          <w:marBottom w:val="0"/>
                          <w:divBdr>
                            <w:top w:val="none" w:sz="0" w:space="0" w:color="auto"/>
                            <w:left w:val="none" w:sz="0" w:space="0" w:color="auto"/>
                            <w:bottom w:val="none" w:sz="0" w:space="0" w:color="auto"/>
                            <w:right w:val="none" w:sz="0" w:space="0" w:color="auto"/>
                          </w:divBdr>
                        </w:div>
                        <w:div w:id="644822529">
                          <w:marLeft w:val="0"/>
                          <w:marRight w:val="0"/>
                          <w:marTop w:val="0"/>
                          <w:marBottom w:val="0"/>
                          <w:divBdr>
                            <w:top w:val="none" w:sz="0" w:space="0" w:color="auto"/>
                            <w:left w:val="none" w:sz="0" w:space="0" w:color="auto"/>
                            <w:bottom w:val="none" w:sz="0" w:space="0" w:color="auto"/>
                            <w:right w:val="none" w:sz="0" w:space="0" w:color="auto"/>
                          </w:divBdr>
                        </w:div>
                        <w:div w:id="658579011">
                          <w:marLeft w:val="0"/>
                          <w:marRight w:val="0"/>
                          <w:marTop w:val="0"/>
                          <w:marBottom w:val="0"/>
                          <w:divBdr>
                            <w:top w:val="none" w:sz="0" w:space="0" w:color="auto"/>
                            <w:left w:val="none" w:sz="0" w:space="0" w:color="auto"/>
                            <w:bottom w:val="none" w:sz="0" w:space="0" w:color="auto"/>
                            <w:right w:val="none" w:sz="0" w:space="0" w:color="auto"/>
                          </w:divBdr>
                        </w:div>
                        <w:div w:id="1714117082">
                          <w:marLeft w:val="0"/>
                          <w:marRight w:val="0"/>
                          <w:marTop w:val="0"/>
                          <w:marBottom w:val="0"/>
                          <w:divBdr>
                            <w:top w:val="none" w:sz="0" w:space="0" w:color="auto"/>
                            <w:left w:val="none" w:sz="0" w:space="0" w:color="auto"/>
                            <w:bottom w:val="none" w:sz="0" w:space="0" w:color="auto"/>
                            <w:right w:val="none" w:sz="0" w:space="0" w:color="auto"/>
                          </w:divBdr>
                        </w:div>
                      </w:divsChild>
                    </w:div>
                    <w:div w:id="246310035">
                      <w:marLeft w:val="0"/>
                      <w:marRight w:val="0"/>
                      <w:marTop w:val="0"/>
                      <w:marBottom w:val="0"/>
                      <w:divBdr>
                        <w:top w:val="none" w:sz="0" w:space="0" w:color="auto"/>
                        <w:left w:val="none" w:sz="0" w:space="0" w:color="auto"/>
                        <w:bottom w:val="none" w:sz="0" w:space="0" w:color="auto"/>
                        <w:right w:val="none" w:sz="0" w:space="0" w:color="auto"/>
                      </w:divBdr>
                    </w:div>
                    <w:div w:id="246311513">
                      <w:marLeft w:val="0"/>
                      <w:marRight w:val="0"/>
                      <w:marTop w:val="0"/>
                      <w:marBottom w:val="0"/>
                      <w:divBdr>
                        <w:top w:val="none" w:sz="0" w:space="0" w:color="auto"/>
                        <w:left w:val="none" w:sz="0" w:space="0" w:color="auto"/>
                        <w:bottom w:val="none" w:sz="0" w:space="0" w:color="auto"/>
                        <w:right w:val="none" w:sz="0" w:space="0" w:color="auto"/>
                      </w:divBdr>
                      <w:divsChild>
                        <w:div w:id="2013992602">
                          <w:marLeft w:val="0"/>
                          <w:marRight w:val="0"/>
                          <w:marTop w:val="0"/>
                          <w:marBottom w:val="0"/>
                          <w:divBdr>
                            <w:top w:val="none" w:sz="0" w:space="0" w:color="auto"/>
                            <w:left w:val="none" w:sz="0" w:space="0" w:color="auto"/>
                            <w:bottom w:val="none" w:sz="0" w:space="0" w:color="auto"/>
                            <w:right w:val="none" w:sz="0" w:space="0" w:color="auto"/>
                          </w:divBdr>
                        </w:div>
                      </w:divsChild>
                    </w:div>
                    <w:div w:id="355008964">
                      <w:marLeft w:val="0"/>
                      <w:marRight w:val="0"/>
                      <w:marTop w:val="0"/>
                      <w:marBottom w:val="0"/>
                      <w:divBdr>
                        <w:top w:val="none" w:sz="0" w:space="0" w:color="auto"/>
                        <w:left w:val="none" w:sz="0" w:space="0" w:color="auto"/>
                        <w:bottom w:val="none" w:sz="0" w:space="0" w:color="auto"/>
                        <w:right w:val="none" w:sz="0" w:space="0" w:color="auto"/>
                      </w:divBdr>
                    </w:div>
                    <w:div w:id="525363842">
                      <w:marLeft w:val="0"/>
                      <w:marRight w:val="0"/>
                      <w:marTop w:val="0"/>
                      <w:marBottom w:val="0"/>
                      <w:divBdr>
                        <w:top w:val="none" w:sz="0" w:space="0" w:color="auto"/>
                        <w:left w:val="none" w:sz="0" w:space="0" w:color="auto"/>
                        <w:bottom w:val="none" w:sz="0" w:space="0" w:color="auto"/>
                        <w:right w:val="none" w:sz="0" w:space="0" w:color="auto"/>
                      </w:divBdr>
                      <w:divsChild>
                        <w:div w:id="1286304500">
                          <w:marLeft w:val="0"/>
                          <w:marRight w:val="0"/>
                          <w:marTop w:val="0"/>
                          <w:marBottom w:val="0"/>
                          <w:divBdr>
                            <w:top w:val="none" w:sz="0" w:space="0" w:color="auto"/>
                            <w:left w:val="none" w:sz="0" w:space="0" w:color="auto"/>
                            <w:bottom w:val="none" w:sz="0" w:space="0" w:color="auto"/>
                            <w:right w:val="none" w:sz="0" w:space="0" w:color="auto"/>
                          </w:divBdr>
                        </w:div>
                      </w:divsChild>
                    </w:div>
                    <w:div w:id="542251288">
                      <w:marLeft w:val="0"/>
                      <w:marRight w:val="0"/>
                      <w:marTop w:val="0"/>
                      <w:marBottom w:val="0"/>
                      <w:divBdr>
                        <w:top w:val="none" w:sz="0" w:space="0" w:color="auto"/>
                        <w:left w:val="none" w:sz="0" w:space="0" w:color="auto"/>
                        <w:bottom w:val="none" w:sz="0" w:space="0" w:color="auto"/>
                        <w:right w:val="none" w:sz="0" w:space="0" w:color="auto"/>
                      </w:divBdr>
                      <w:divsChild>
                        <w:div w:id="1750274540">
                          <w:marLeft w:val="0"/>
                          <w:marRight w:val="0"/>
                          <w:marTop w:val="0"/>
                          <w:marBottom w:val="0"/>
                          <w:divBdr>
                            <w:top w:val="none" w:sz="0" w:space="0" w:color="auto"/>
                            <w:left w:val="none" w:sz="0" w:space="0" w:color="auto"/>
                            <w:bottom w:val="none" w:sz="0" w:space="0" w:color="auto"/>
                            <w:right w:val="none" w:sz="0" w:space="0" w:color="auto"/>
                          </w:divBdr>
                        </w:div>
                      </w:divsChild>
                    </w:div>
                    <w:div w:id="563180718">
                      <w:marLeft w:val="0"/>
                      <w:marRight w:val="0"/>
                      <w:marTop w:val="0"/>
                      <w:marBottom w:val="0"/>
                      <w:divBdr>
                        <w:top w:val="none" w:sz="0" w:space="0" w:color="auto"/>
                        <w:left w:val="none" w:sz="0" w:space="0" w:color="auto"/>
                        <w:bottom w:val="none" w:sz="0" w:space="0" w:color="auto"/>
                        <w:right w:val="none" w:sz="0" w:space="0" w:color="auto"/>
                      </w:divBdr>
                      <w:divsChild>
                        <w:div w:id="506864109">
                          <w:marLeft w:val="0"/>
                          <w:marRight w:val="0"/>
                          <w:marTop w:val="0"/>
                          <w:marBottom w:val="0"/>
                          <w:divBdr>
                            <w:top w:val="none" w:sz="0" w:space="0" w:color="auto"/>
                            <w:left w:val="none" w:sz="0" w:space="0" w:color="auto"/>
                            <w:bottom w:val="none" w:sz="0" w:space="0" w:color="auto"/>
                            <w:right w:val="none" w:sz="0" w:space="0" w:color="auto"/>
                          </w:divBdr>
                        </w:div>
                      </w:divsChild>
                    </w:div>
                    <w:div w:id="591545703">
                      <w:marLeft w:val="0"/>
                      <w:marRight w:val="0"/>
                      <w:marTop w:val="0"/>
                      <w:marBottom w:val="0"/>
                      <w:divBdr>
                        <w:top w:val="none" w:sz="0" w:space="0" w:color="auto"/>
                        <w:left w:val="none" w:sz="0" w:space="0" w:color="auto"/>
                        <w:bottom w:val="none" w:sz="0" w:space="0" w:color="auto"/>
                        <w:right w:val="none" w:sz="0" w:space="0" w:color="auto"/>
                      </w:divBdr>
                      <w:divsChild>
                        <w:div w:id="474880691">
                          <w:marLeft w:val="0"/>
                          <w:marRight w:val="0"/>
                          <w:marTop w:val="0"/>
                          <w:marBottom w:val="0"/>
                          <w:divBdr>
                            <w:top w:val="none" w:sz="0" w:space="0" w:color="auto"/>
                            <w:left w:val="none" w:sz="0" w:space="0" w:color="auto"/>
                            <w:bottom w:val="none" w:sz="0" w:space="0" w:color="auto"/>
                            <w:right w:val="none" w:sz="0" w:space="0" w:color="auto"/>
                          </w:divBdr>
                        </w:div>
                        <w:div w:id="612900690">
                          <w:marLeft w:val="0"/>
                          <w:marRight w:val="0"/>
                          <w:marTop w:val="0"/>
                          <w:marBottom w:val="0"/>
                          <w:divBdr>
                            <w:top w:val="none" w:sz="0" w:space="0" w:color="auto"/>
                            <w:left w:val="none" w:sz="0" w:space="0" w:color="auto"/>
                            <w:bottom w:val="none" w:sz="0" w:space="0" w:color="auto"/>
                            <w:right w:val="none" w:sz="0" w:space="0" w:color="auto"/>
                          </w:divBdr>
                        </w:div>
                        <w:div w:id="760179346">
                          <w:marLeft w:val="0"/>
                          <w:marRight w:val="0"/>
                          <w:marTop w:val="0"/>
                          <w:marBottom w:val="0"/>
                          <w:divBdr>
                            <w:top w:val="none" w:sz="0" w:space="0" w:color="auto"/>
                            <w:left w:val="none" w:sz="0" w:space="0" w:color="auto"/>
                            <w:bottom w:val="none" w:sz="0" w:space="0" w:color="auto"/>
                            <w:right w:val="none" w:sz="0" w:space="0" w:color="auto"/>
                          </w:divBdr>
                        </w:div>
                        <w:div w:id="1004090383">
                          <w:marLeft w:val="0"/>
                          <w:marRight w:val="0"/>
                          <w:marTop w:val="0"/>
                          <w:marBottom w:val="0"/>
                          <w:divBdr>
                            <w:top w:val="none" w:sz="0" w:space="0" w:color="auto"/>
                            <w:left w:val="none" w:sz="0" w:space="0" w:color="auto"/>
                            <w:bottom w:val="none" w:sz="0" w:space="0" w:color="auto"/>
                            <w:right w:val="none" w:sz="0" w:space="0" w:color="auto"/>
                          </w:divBdr>
                        </w:div>
                        <w:div w:id="1261445954">
                          <w:marLeft w:val="0"/>
                          <w:marRight w:val="0"/>
                          <w:marTop w:val="0"/>
                          <w:marBottom w:val="0"/>
                          <w:divBdr>
                            <w:top w:val="none" w:sz="0" w:space="0" w:color="auto"/>
                            <w:left w:val="none" w:sz="0" w:space="0" w:color="auto"/>
                            <w:bottom w:val="none" w:sz="0" w:space="0" w:color="auto"/>
                            <w:right w:val="none" w:sz="0" w:space="0" w:color="auto"/>
                          </w:divBdr>
                        </w:div>
                        <w:div w:id="1740789661">
                          <w:marLeft w:val="0"/>
                          <w:marRight w:val="0"/>
                          <w:marTop w:val="0"/>
                          <w:marBottom w:val="0"/>
                          <w:divBdr>
                            <w:top w:val="none" w:sz="0" w:space="0" w:color="auto"/>
                            <w:left w:val="none" w:sz="0" w:space="0" w:color="auto"/>
                            <w:bottom w:val="none" w:sz="0" w:space="0" w:color="auto"/>
                            <w:right w:val="none" w:sz="0" w:space="0" w:color="auto"/>
                          </w:divBdr>
                        </w:div>
                      </w:divsChild>
                    </w:div>
                    <w:div w:id="687371670">
                      <w:marLeft w:val="0"/>
                      <w:marRight w:val="0"/>
                      <w:marTop w:val="0"/>
                      <w:marBottom w:val="0"/>
                      <w:divBdr>
                        <w:top w:val="none" w:sz="0" w:space="0" w:color="auto"/>
                        <w:left w:val="none" w:sz="0" w:space="0" w:color="auto"/>
                        <w:bottom w:val="none" w:sz="0" w:space="0" w:color="auto"/>
                        <w:right w:val="none" w:sz="0" w:space="0" w:color="auto"/>
                      </w:divBdr>
                    </w:div>
                    <w:div w:id="735007159">
                      <w:marLeft w:val="0"/>
                      <w:marRight w:val="0"/>
                      <w:marTop w:val="0"/>
                      <w:marBottom w:val="0"/>
                      <w:divBdr>
                        <w:top w:val="none" w:sz="0" w:space="0" w:color="auto"/>
                        <w:left w:val="none" w:sz="0" w:space="0" w:color="auto"/>
                        <w:bottom w:val="none" w:sz="0" w:space="0" w:color="auto"/>
                        <w:right w:val="none" w:sz="0" w:space="0" w:color="auto"/>
                      </w:divBdr>
                    </w:div>
                    <w:div w:id="863716881">
                      <w:marLeft w:val="0"/>
                      <w:marRight w:val="0"/>
                      <w:marTop w:val="0"/>
                      <w:marBottom w:val="0"/>
                      <w:divBdr>
                        <w:top w:val="none" w:sz="0" w:space="0" w:color="auto"/>
                        <w:left w:val="none" w:sz="0" w:space="0" w:color="auto"/>
                        <w:bottom w:val="none" w:sz="0" w:space="0" w:color="auto"/>
                        <w:right w:val="none" w:sz="0" w:space="0" w:color="auto"/>
                      </w:divBdr>
                      <w:divsChild>
                        <w:div w:id="1409965114">
                          <w:marLeft w:val="0"/>
                          <w:marRight w:val="0"/>
                          <w:marTop w:val="0"/>
                          <w:marBottom w:val="0"/>
                          <w:divBdr>
                            <w:top w:val="none" w:sz="0" w:space="0" w:color="auto"/>
                            <w:left w:val="none" w:sz="0" w:space="0" w:color="auto"/>
                            <w:bottom w:val="none" w:sz="0" w:space="0" w:color="auto"/>
                            <w:right w:val="none" w:sz="0" w:space="0" w:color="auto"/>
                          </w:divBdr>
                        </w:div>
                      </w:divsChild>
                    </w:div>
                    <w:div w:id="1049109878">
                      <w:marLeft w:val="0"/>
                      <w:marRight w:val="0"/>
                      <w:marTop w:val="0"/>
                      <w:marBottom w:val="0"/>
                      <w:divBdr>
                        <w:top w:val="none" w:sz="0" w:space="0" w:color="auto"/>
                        <w:left w:val="none" w:sz="0" w:space="0" w:color="auto"/>
                        <w:bottom w:val="none" w:sz="0" w:space="0" w:color="auto"/>
                        <w:right w:val="none" w:sz="0" w:space="0" w:color="auto"/>
                      </w:divBdr>
                    </w:div>
                    <w:div w:id="1051658688">
                      <w:marLeft w:val="0"/>
                      <w:marRight w:val="0"/>
                      <w:marTop w:val="0"/>
                      <w:marBottom w:val="0"/>
                      <w:divBdr>
                        <w:top w:val="none" w:sz="0" w:space="0" w:color="auto"/>
                        <w:left w:val="none" w:sz="0" w:space="0" w:color="auto"/>
                        <w:bottom w:val="none" w:sz="0" w:space="0" w:color="auto"/>
                        <w:right w:val="none" w:sz="0" w:space="0" w:color="auto"/>
                      </w:divBdr>
                    </w:div>
                    <w:div w:id="1136722956">
                      <w:marLeft w:val="0"/>
                      <w:marRight w:val="0"/>
                      <w:marTop w:val="0"/>
                      <w:marBottom w:val="0"/>
                      <w:divBdr>
                        <w:top w:val="none" w:sz="0" w:space="0" w:color="auto"/>
                        <w:left w:val="none" w:sz="0" w:space="0" w:color="auto"/>
                        <w:bottom w:val="none" w:sz="0" w:space="0" w:color="auto"/>
                        <w:right w:val="none" w:sz="0" w:space="0" w:color="auto"/>
                      </w:divBdr>
                      <w:divsChild>
                        <w:div w:id="707417880">
                          <w:marLeft w:val="0"/>
                          <w:marRight w:val="0"/>
                          <w:marTop w:val="0"/>
                          <w:marBottom w:val="0"/>
                          <w:divBdr>
                            <w:top w:val="none" w:sz="0" w:space="0" w:color="auto"/>
                            <w:left w:val="none" w:sz="0" w:space="0" w:color="auto"/>
                            <w:bottom w:val="none" w:sz="0" w:space="0" w:color="auto"/>
                            <w:right w:val="none" w:sz="0" w:space="0" w:color="auto"/>
                          </w:divBdr>
                        </w:div>
                      </w:divsChild>
                    </w:div>
                    <w:div w:id="1230728101">
                      <w:marLeft w:val="0"/>
                      <w:marRight w:val="0"/>
                      <w:marTop w:val="0"/>
                      <w:marBottom w:val="0"/>
                      <w:divBdr>
                        <w:top w:val="none" w:sz="0" w:space="0" w:color="auto"/>
                        <w:left w:val="none" w:sz="0" w:space="0" w:color="auto"/>
                        <w:bottom w:val="none" w:sz="0" w:space="0" w:color="auto"/>
                        <w:right w:val="none" w:sz="0" w:space="0" w:color="auto"/>
                      </w:divBdr>
                      <w:divsChild>
                        <w:div w:id="642975593">
                          <w:marLeft w:val="0"/>
                          <w:marRight w:val="0"/>
                          <w:marTop w:val="0"/>
                          <w:marBottom w:val="0"/>
                          <w:divBdr>
                            <w:top w:val="none" w:sz="0" w:space="0" w:color="auto"/>
                            <w:left w:val="none" w:sz="0" w:space="0" w:color="auto"/>
                            <w:bottom w:val="none" w:sz="0" w:space="0" w:color="auto"/>
                            <w:right w:val="none" w:sz="0" w:space="0" w:color="auto"/>
                          </w:divBdr>
                        </w:div>
                      </w:divsChild>
                    </w:div>
                    <w:div w:id="1242106525">
                      <w:marLeft w:val="0"/>
                      <w:marRight w:val="0"/>
                      <w:marTop w:val="0"/>
                      <w:marBottom w:val="0"/>
                      <w:divBdr>
                        <w:top w:val="none" w:sz="0" w:space="0" w:color="auto"/>
                        <w:left w:val="none" w:sz="0" w:space="0" w:color="auto"/>
                        <w:bottom w:val="none" w:sz="0" w:space="0" w:color="auto"/>
                        <w:right w:val="none" w:sz="0" w:space="0" w:color="auto"/>
                      </w:divBdr>
                      <w:divsChild>
                        <w:div w:id="1635254731">
                          <w:marLeft w:val="0"/>
                          <w:marRight w:val="0"/>
                          <w:marTop w:val="0"/>
                          <w:marBottom w:val="0"/>
                          <w:divBdr>
                            <w:top w:val="none" w:sz="0" w:space="0" w:color="auto"/>
                            <w:left w:val="none" w:sz="0" w:space="0" w:color="auto"/>
                            <w:bottom w:val="none" w:sz="0" w:space="0" w:color="auto"/>
                            <w:right w:val="none" w:sz="0" w:space="0" w:color="auto"/>
                          </w:divBdr>
                        </w:div>
                      </w:divsChild>
                    </w:div>
                    <w:div w:id="1340886880">
                      <w:marLeft w:val="0"/>
                      <w:marRight w:val="0"/>
                      <w:marTop w:val="0"/>
                      <w:marBottom w:val="0"/>
                      <w:divBdr>
                        <w:top w:val="none" w:sz="0" w:space="0" w:color="auto"/>
                        <w:left w:val="none" w:sz="0" w:space="0" w:color="auto"/>
                        <w:bottom w:val="none" w:sz="0" w:space="0" w:color="auto"/>
                        <w:right w:val="none" w:sz="0" w:space="0" w:color="auto"/>
                      </w:divBdr>
                      <w:divsChild>
                        <w:div w:id="1222866314">
                          <w:marLeft w:val="0"/>
                          <w:marRight w:val="0"/>
                          <w:marTop w:val="0"/>
                          <w:marBottom w:val="0"/>
                          <w:divBdr>
                            <w:top w:val="none" w:sz="0" w:space="0" w:color="auto"/>
                            <w:left w:val="none" w:sz="0" w:space="0" w:color="auto"/>
                            <w:bottom w:val="none" w:sz="0" w:space="0" w:color="auto"/>
                            <w:right w:val="none" w:sz="0" w:space="0" w:color="auto"/>
                          </w:divBdr>
                        </w:div>
                        <w:div w:id="1720393922">
                          <w:marLeft w:val="0"/>
                          <w:marRight w:val="0"/>
                          <w:marTop w:val="0"/>
                          <w:marBottom w:val="0"/>
                          <w:divBdr>
                            <w:top w:val="none" w:sz="0" w:space="0" w:color="auto"/>
                            <w:left w:val="none" w:sz="0" w:space="0" w:color="auto"/>
                            <w:bottom w:val="none" w:sz="0" w:space="0" w:color="auto"/>
                            <w:right w:val="none" w:sz="0" w:space="0" w:color="auto"/>
                          </w:divBdr>
                        </w:div>
                        <w:div w:id="1952937084">
                          <w:marLeft w:val="0"/>
                          <w:marRight w:val="0"/>
                          <w:marTop w:val="0"/>
                          <w:marBottom w:val="0"/>
                          <w:divBdr>
                            <w:top w:val="none" w:sz="0" w:space="0" w:color="auto"/>
                            <w:left w:val="none" w:sz="0" w:space="0" w:color="auto"/>
                            <w:bottom w:val="none" w:sz="0" w:space="0" w:color="auto"/>
                            <w:right w:val="none" w:sz="0" w:space="0" w:color="auto"/>
                          </w:divBdr>
                        </w:div>
                        <w:div w:id="1964924991">
                          <w:marLeft w:val="0"/>
                          <w:marRight w:val="0"/>
                          <w:marTop w:val="0"/>
                          <w:marBottom w:val="0"/>
                          <w:divBdr>
                            <w:top w:val="none" w:sz="0" w:space="0" w:color="auto"/>
                            <w:left w:val="none" w:sz="0" w:space="0" w:color="auto"/>
                            <w:bottom w:val="none" w:sz="0" w:space="0" w:color="auto"/>
                            <w:right w:val="none" w:sz="0" w:space="0" w:color="auto"/>
                          </w:divBdr>
                        </w:div>
                      </w:divsChild>
                    </w:div>
                    <w:div w:id="1376930175">
                      <w:marLeft w:val="0"/>
                      <w:marRight w:val="0"/>
                      <w:marTop w:val="0"/>
                      <w:marBottom w:val="0"/>
                      <w:divBdr>
                        <w:top w:val="none" w:sz="0" w:space="0" w:color="auto"/>
                        <w:left w:val="none" w:sz="0" w:space="0" w:color="auto"/>
                        <w:bottom w:val="none" w:sz="0" w:space="0" w:color="auto"/>
                        <w:right w:val="none" w:sz="0" w:space="0" w:color="auto"/>
                      </w:divBdr>
                      <w:divsChild>
                        <w:div w:id="8025846">
                          <w:marLeft w:val="0"/>
                          <w:marRight w:val="0"/>
                          <w:marTop w:val="0"/>
                          <w:marBottom w:val="0"/>
                          <w:divBdr>
                            <w:top w:val="none" w:sz="0" w:space="0" w:color="auto"/>
                            <w:left w:val="none" w:sz="0" w:space="0" w:color="auto"/>
                            <w:bottom w:val="none" w:sz="0" w:space="0" w:color="auto"/>
                            <w:right w:val="none" w:sz="0" w:space="0" w:color="auto"/>
                          </w:divBdr>
                        </w:div>
                        <w:div w:id="336083995">
                          <w:marLeft w:val="0"/>
                          <w:marRight w:val="0"/>
                          <w:marTop w:val="0"/>
                          <w:marBottom w:val="0"/>
                          <w:divBdr>
                            <w:top w:val="none" w:sz="0" w:space="0" w:color="auto"/>
                            <w:left w:val="none" w:sz="0" w:space="0" w:color="auto"/>
                            <w:bottom w:val="none" w:sz="0" w:space="0" w:color="auto"/>
                            <w:right w:val="none" w:sz="0" w:space="0" w:color="auto"/>
                          </w:divBdr>
                        </w:div>
                        <w:div w:id="657807842">
                          <w:marLeft w:val="0"/>
                          <w:marRight w:val="0"/>
                          <w:marTop w:val="0"/>
                          <w:marBottom w:val="0"/>
                          <w:divBdr>
                            <w:top w:val="none" w:sz="0" w:space="0" w:color="auto"/>
                            <w:left w:val="none" w:sz="0" w:space="0" w:color="auto"/>
                            <w:bottom w:val="none" w:sz="0" w:space="0" w:color="auto"/>
                            <w:right w:val="none" w:sz="0" w:space="0" w:color="auto"/>
                          </w:divBdr>
                        </w:div>
                        <w:div w:id="1795251364">
                          <w:marLeft w:val="0"/>
                          <w:marRight w:val="0"/>
                          <w:marTop w:val="0"/>
                          <w:marBottom w:val="0"/>
                          <w:divBdr>
                            <w:top w:val="none" w:sz="0" w:space="0" w:color="auto"/>
                            <w:left w:val="none" w:sz="0" w:space="0" w:color="auto"/>
                            <w:bottom w:val="none" w:sz="0" w:space="0" w:color="auto"/>
                            <w:right w:val="none" w:sz="0" w:space="0" w:color="auto"/>
                          </w:divBdr>
                        </w:div>
                      </w:divsChild>
                    </w:div>
                    <w:div w:id="1502311445">
                      <w:marLeft w:val="0"/>
                      <w:marRight w:val="0"/>
                      <w:marTop w:val="0"/>
                      <w:marBottom w:val="0"/>
                      <w:divBdr>
                        <w:top w:val="none" w:sz="0" w:space="0" w:color="auto"/>
                        <w:left w:val="none" w:sz="0" w:space="0" w:color="auto"/>
                        <w:bottom w:val="none" w:sz="0" w:space="0" w:color="auto"/>
                        <w:right w:val="none" w:sz="0" w:space="0" w:color="auto"/>
                      </w:divBdr>
                      <w:divsChild>
                        <w:div w:id="1424841173">
                          <w:marLeft w:val="0"/>
                          <w:marRight w:val="0"/>
                          <w:marTop w:val="0"/>
                          <w:marBottom w:val="0"/>
                          <w:divBdr>
                            <w:top w:val="none" w:sz="0" w:space="0" w:color="auto"/>
                            <w:left w:val="none" w:sz="0" w:space="0" w:color="auto"/>
                            <w:bottom w:val="none" w:sz="0" w:space="0" w:color="auto"/>
                            <w:right w:val="none" w:sz="0" w:space="0" w:color="auto"/>
                          </w:divBdr>
                        </w:div>
                      </w:divsChild>
                    </w:div>
                    <w:div w:id="1581796356">
                      <w:marLeft w:val="0"/>
                      <w:marRight w:val="0"/>
                      <w:marTop w:val="0"/>
                      <w:marBottom w:val="0"/>
                      <w:divBdr>
                        <w:top w:val="none" w:sz="0" w:space="0" w:color="auto"/>
                        <w:left w:val="none" w:sz="0" w:space="0" w:color="auto"/>
                        <w:bottom w:val="none" w:sz="0" w:space="0" w:color="auto"/>
                        <w:right w:val="none" w:sz="0" w:space="0" w:color="auto"/>
                      </w:divBdr>
                      <w:divsChild>
                        <w:div w:id="255211146">
                          <w:marLeft w:val="0"/>
                          <w:marRight w:val="0"/>
                          <w:marTop w:val="0"/>
                          <w:marBottom w:val="0"/>
                          <w:divBdr>
                            <w:top w:val="none" w:sz="0" w:space="0" w:color="auto"/>
                            <w:left w:val="none" w:sz="0" w:space="0" w:color="auto"/>
                            <w:bottom w:val="none" w:sz="0" w:space="0" w:color="auto"/>
                            <w:right w:val="none" w:sz="0" w:space="0" w:color="auto"/>
                          </w:divBdr>
                        </w:div>
                      </w:divsChild>
                    </w:div>
                    <w:div w:id="1610120374">
                      <w:marLeft w:val="0"/>
                      <w:marRight w:val="0"/>
                      <w:marTop w:val="0"/>
                      <w:marBottom w:val="0"/>
                      <w:divBdr>
                        <w:top w:val="none" w:sz="0" w:space="0" w:color="auto"/>
                        <w:left w:val="none" w:sz="0" w:space="0" w:color="auto"/>
                        <w:bottom w:val="none" w:sz="0" w:space="0" w:color="auto"/>
                        <w:right w:val="none" w:sz="0" w:space="0" w:color="auto"/>
                      </w:divBdr>
                      <w:divsChild>
                        <w:div w:id="1189485509">
                          <w:marLeft w:val="0"/>
                          <w:marRight w:val="0"/>
                          <w:marTop w:val="0"/>
                          <w:marBottom w:val="0"/>
                          <w:divBdr>
                            <w:top w:val="none" w:sz="0" w:space="0" w:color="auto"/>
                            <w:left w:val="none" w:sz="0" w:space="0" w:color="auto"/>
                            <w:bottom w:val="none" w:sz="0" w:space="0" w:color="auto"/>
                            <w:right w:val="none" w:sz="0" w:space="0" w:color="auto"/>
                          </w:divBdr>
                        </w:div>
                      </w:divsChild>
                    </w:div>
                    <w:div w:id="1624461958">
                      <w:marLeft w:val="0"/>
                      <w:marRight w:val="0"/>
                      <w:marTop w:val="0"/>
                      <w:marBottom w:val="0"/>
                      <w:divBdr>
                        <w:top w:val="none" w:sz="0" w:space="0" w:color="auto"/>
                        <w:left w:val="none" w:sz="0" w:space="0" w:color="auto"/>
                        <w:bottom w:val="none" w:sz="0" w:space="0" w:color="auto"/>
                        <w:right w:val="none" w:sz="0" w:space="0" w:color="auto"/>
                      </w:divBdr>
                    </w:div>
                    <w:div w:id="1999456429">
                      <w:marLeft w:val="0"/>
                      <w:marRight w:val="0"/>
                      <w:marTop w:val="0"/>
                      <w:marBottom w:val="0"/>
                      <w:divBdr>
                        <w:top w:val="none" w:sz="0" w:space="0" w:color="auto"/>
                        <w:left w:val="none" w:sz="0" w:space="0" w:color="auto"/>
                        <w:bottom w:val="none" w:sz="0" w:space="0" w:color="auto"/>
                        <w:right w:val="none" w:sz="0" w:space="0" w:color="auto"/>
                      </w:divBdr>
                    </w:div>
                    <w:div w:id="2047100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1099221">
      <w:bodyDiv w:val="1"/>
      <w:marLeft w:val="0"/>
      <w:marRight w:val="0"/>
      <w:marTop w:val="0"/>
      <w:marBottom w:val="0"/>
      <w:divBdr>
        <w:top w:val="none" w:sz="0" w:space="0" w:color="auto"/>
        <w:left w:val="none" w:sz="0" w:space="0" w:color="auto"/>
        <w:bottom w:val="none" w:sz="0" w:space="0" w:color="auto"/>
        <w:right w:val="none" w:sz="0" w:space="0" w:color="auto"/>
      </w:divBdr>
    </w:div>
    <w:div w:id="1102258380">
      <w:bodyDiv w:val="1"/>
      <w:marLeft w:val="0"/>
      <w:marRight w:val="0"/>
      <w:marTop w:val="0"/>
      <w:marBottom w:val="0"/>
      <w:divBdr>
        <w:top w:val="none" w:sz="0" w:space="0" w:color="auto"/>
        <w:left w:val="none" w:sz="0" w:space="0" w:color="auto"/>
        <w:bottom w:val="none" w:sz="0" w:space="0" w:color="auto"/>
        <w:right w:val="none" w:sz="0" w:space="0" w:color="auto"/>
      </w:divBdr>
    </w:div>
    <w:div w:id="1107966834">
      <w:bodyDiv w:val="1"/>
      <w:marLeft w:val="0"/>
      <w:marRight w:val="0"/>
      <w:marTop w:val="0"/>
      <w:marBottom w:val="0"/>
      <w:divBdr>
        <w:top w:val="none" w:sz="0" w:space="0" w:color="auto"/>
        <w:left w:val="none" w:sz="0" w:space="0" w:color="auto"/>
        <w:bottom w:val="none" w:sz="0" w:space="0" w:color="auto"/>
        <w:right w:val="none" w:sz="0" w:space="0" w:color="auto"/>
      </w:divBdr>
    </w:div>
    <w:div w:id="1111314859">
      <w:bodyDiv w:val="1"/>
      <w:marLeft w:val="0"/>
      <w:marRight w:val="0"/>
      <w:marTop w:val="0"/>
      <w:marBottom w:val="0"/>
      <w:divBdr>
        <w:top w:val="none" w:sz="0" w:space="0" w:color="auto"/>
        <w:left w:val="none" w:sz="0" w:space="0" w:color="auto"/>
        <w:bottom w:val="none" w:sz="0" w:space="0" w:color="auto"/>
        <w:right w:val="none" w:sz="0" w:space="0" w:color="auto"/>
      </w:divBdr>
    </w:div>
    <w:div w:id="1126582738">
      <w:bodyDiv w:val="1"/>
      <w:marLeft w:val="0"/>
      <w:marRight w:val="0"/>
      <w:marTop w:val="0"/>
      <w:marBottom w:val="0"/>
      <w:divBdr>
        <w:top w:val="none" w:sz="0" w:space="0" w:color="auto"/>
        <w:left w:val="none" w:sz="0" w:space="0" w:color="auto"/>
        <w:bottom w:val="none" w:sz="0" w:space="0" w:color="auto"/>
        <w:right w:val="none" w:sz="0" w:space="0" w:color="auto"/>
      </w:divBdr>
    </w:div>
    <w:div w:id="1131093724">
      <w:bodyDiv w:val="1"/>
      <w:marLeft w:val="0"/>
      <w:marRight w:val="0"/>
      <w:marTop w:val="0"/>
      <w:marBottom w:val="0"/>
      <w:divBdr>
        <w:top w:val="none" w:sz="0" w:space="0" w:color="auto"/>
        <w:left w:val="none" w:sz="0" w:space="0" w:color="auto"/>
        <w:bottom w:val="none" w:sz="0" w:space="0" w:color="auto"/>
        <w:right w:val="none" w:sz="0" w:space="0" w:color="auto"/>
      </w:divBdr>
    </w:div>
    <w:div w:id="1136727448">
      <w:bodyDiv w:val="1"/>
      <w:marLeft w:val="0"/>
      <w:marRight w:val="0"/>
      <w:marTop w:val="0"/>
      <w:marBottom w:val="0"/>
      <w:divBdr>
        <w:top w:val="none" w:sz="0" w:space="0" w:color="auto"/>
        <w:left w:val="none" w:sz="0" w:space="0" w:color="auto"/>
        <w:bottom w:val="none" w:sz="0" w:space="0" w:color="auto"/>
        <w:right w:val="none" w:sz="0" w:space="0" w:color="auto"/>
      </w:divBdr>
    </w:div>
    <w:div w:id="1143885590">
      <w:bodyDiv w:val="1"/>
      <w:marLeft w:val="0"/>
      <w:marRight w:val="0"/>
      <w:marTop w:val="0"/>
      <w:marBottom w:val="0"/>
      <w:divBdr>
        <w:top w:val="none" w:sz="0" w:space="0" w:color="auto"/>
        <w:left w:val="none" w:sz="0" w:space="0" w:color="auto"/>
        <w:bottom w:val="none" w:sz="0" w:space="0" w:color="auto"/>
        <w:right w:val="none" w:sz="0" w:space="0" w:color="auto"/>
      </w:divBdr>
      <w:divsChild>
        <w:div w:id="1161509847">
          <w:marLeft w:val="0"/>
          <w:marRight w:val="0"/>
          <w:marTop w:val="0"/>
          <w:marBottom w:val="0"/>
          <w:divBdr>
            <w:top w:val="none" w:sz="0" w:space="0" w:color="auto"/>
            <w:left w:val="none" w:sz="0" w:space="0" w:color="auto"/>
            <w:bottom w:val="none" w:sz="0" w:space="0" w:color="auto"/>
            <w:right w:val="none" w:sz="0" w:space="0" w:color="auto"/>
          </w:divBdr>
          <w:divsChild>
            <w:div w:id="1806582250">
              <w:marLeft w:val="0"/>
              <w:marRight w:val="0"/>
              <w:marTop w:val="0"/>
              <w:marBottom w:val="0"/>
              <w:divBdr>
                <w:top w:val="none" w:sz="0" w:space="0" w:color="auto"/>
                <w:left w:val="none" w:sz="0" w:space="0" w:color="auto"/>
                <w:bottom w:val="none" w:sz="0" w:space="0" w:color="auto"/>
                <w:right w:val="none" w:sz="0" w:space="0" w:color="auto"/>
              </w:divBdr>
              <w:divsChild>
                <w:div w:id="73860643">
                  <w:marLeft w:val="0"/>
                  <w:marRight w:val="0"/>
                  <w:marTop w:val="0"/>
                  <w:marBottom w:val="0"/>
                  <w:divBdr>
                    <w:top w:val="none" w:sz="0" w:space="0" w:color="auto"/>
                    <w:left w:val="none" w:sz="0" w:space="0" w:color="auto"/>
                    <w:bottom w:val="none" w:sz="0" w:space="0" w:color="auto"/>
                    <w:right w:val="none" w:sz="0" w:space="0" w:color="auto"/>
                  </w:divBdr>
                  <w:divsChild>
                    <w:div w:id="1364985122">
                      <w:marLeft w:val="0"/>
                      <w:marRight w:val="0"/>
                      <w:marTop w:val="0"/>
                      <w:marBottom w:val="0"/>
                      <w:divBdr>
                        <w:top w:val="none" w:sz="0" w:space="0" w:color="auto"/>
                        <w:left w:val="none" w:sz="0" w:space="0" w:color="auto"/>
                        <w:bottom w:val="none" w:sz="0" w:space="0" w:color="auto"/>
                        <w:right w:val="none" w:sz="0" w:space="0" w:color="auto"/>
                      </w:divBdr>
                      <w:divsChild>
                        <w:div w:id="1575823054">
                          <w:marLeft w:val="0"/>
                          <w:marRight w:val="0"/>
                          <w:marTop w:val="0"/>
                          <w:marBottom w:val="0"/>
                          <w:divBdr>
                            <w:top w:val="none" w:sz="0" w:space="0" w:color="auto"/>
                            <w:left w:val="none" w:sz="0" w:space="0" w:color="auto"/>
                            <w:bottom w:val="none" w:sz="0" w:space="0" w:color="auto"/>
                            <w:right w:val="none" w:sz="0" w:space="0" w:color="auto"/>
                          </w:divBdr>
                          <w:divsChild>
                            <w:div w:id="1735155864">
                              <w:marLeft w:val="0"/>
                              <w:marRight w:val="0"/>
                              <w:marTop w:val="0"/>
                              <w:marBottom w:val="0"/>
                              <w:divBdr>
                                <w:top w:val="none" w:sz="0" w:space="0" w:color="auto"/>
                                <w:left w:val="none" w:sz="0" w:space="0" w:color="auto"/>
                                <w:bottom w:val="none" w:sz="0" w:space="0" w:color="auto"/>
                                <w:right w:val="none" w:sz="0" w:space="0" w:color="auto"/>
                              </w:divBdr>
                              <w:divsChild>
                                <w:div w:id="887185687">
                                  <w:marLeft w:val="0"/>
                                  <w:marRight w:val="0"/>
                                  <w:marTop w:val="0"/>
                                  <w:marBottom w:val="0"/>
                                  <w:divBdr>
                                    <w:top w:val="none" w:sz="0" w:space="0" w:color="auto"/>
                                    <w:left w:val="none" w:sz="0" w:space="0" w:color="auto"/>
                                    <w:bottom w:val="none" w:sz="0" w:space="0" w:color="auto"/>
                                    <w:right w:val="none" w:sz="0" w:space="0" w:color="auto"/>
                                  </w:divBdr>
                                  <w:divsChild>
                                    <w:div w:id="663044412">
                                      <w:marLeft w:val="0"/>
                                      <w:marRight w:val="0"/>
                                      <w:marTop w:val="0"/>
                                      <w:marBottom w:val="0"/>
                                      <w:divBdr>
                                        <w:top w:val="none" w:sz="0" w:space="0" w:color="auto"/>
                                        <w:left w:val="none" w:sz="0" w:space="0" w:color="auto"/>
                                        <w:bottom w:val="none" w:sz="0" w:space="0" w:color="auto"/>
                                        <w:right w:val="none" w:sz="0" w:space="0" w:color="auto"/>
                                      </w:divBdr>
                                      <w:divsChild>
                                        <w:div w:id="791828594">
                                          <w:marLeft w:val="0"/>
                                          <w:marRight w:val="0"/>
                                          <w:marTop w:val="0"/>
                                          <w:marBottom w:val="0"/>
                                          <w:divBdr>
                                            <w:top w:val="none" w:sz="0" w:space="0" w:color="auto"/>
                                            <w:left w:val="none" w:sz="0" w:space="0" w:color="auto"/>
                                            <w:bottom w:val="none" w:sz="0" w:space="0" w:color="auto"/>
                                            <w:right w:val="none" w:sz="0" w:space="0" w:color="auto"/>
                                          </w:divBdr>
                                          <w:divsChild>
                                            <w:div w:id="291328337">
                                              <w:marLeft w:val="0"/>
                                              <w:marRight w:val="0"/>
                                              <w:marTop w:val="0"/>
                                              <w:marBottom w:val="0"/>
                                              <w:divBdr>
                                                <w:top w:val="none" w:sz="0" w:space="0" w:color="auto"/>
                                                <w:left w:val="none" w:sz="0" w:space="0" w:color="auto"/>
                                                <w:bottom w:val="none" w:sz="0" w:space="0" w:color="auto"/>
                                                <w:right w:val="none" w:sz="0" w:space="0" w:color="auto"/>
                                              </w:divBdr>
                                              <w:divsChild>
                                                <w:div w:id="1920216838">
                                                  <w:marLeft w:val="0"/>
                                                  <w:marRight w:val="0"/>
                                                  <w:marTop w:val="0"/>
                                                  <w:marBottom w:val="0"/>
                                                  <w:divBdr>
                                                    <w:top w:val="none" w:sz="0" w:space="0" w:color="auto"/>
                                                    <w:left w:val="none" w:sz="0" w:space="0" w:color="auto"/>
                                                    <w:bottom w:val="none" w:sz="0" w:space="0" w:color="auto"/>
                                                    <w:right w:val="none" w:sz="0" w:space="0" w:color="auto"/>
                                                  </w:divBdr>
                                                  <w:divsChild>
                                                    <w:div w:id="387149748">
                                                      <w:marLeft w:val="0"/>
                                                      <w:marRight w:val="0"/>
                                                      <w:marTop w:val="0"/>
                                                      <w:marBottom w:val="0"/>
                                                      <w:divBdr>
                                                        <w:top w:val="none" w:sz="0" w:space="0" w:color="auto"/>
                                                        <w:left w:val="none" w:sz="0" w:space="0" w:color="auto"/>
                                                        <w:bottom w:val="none" w:sz="0" w:space="0" w:color="auto"/>
                                                        <w:right w:val="none" w:sz="0" w:space="0" w:color="auto"/>
                                                      </w:divBdr>
                                                      <w:divsChild>
                                                        <w:div w:id="153422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49175546">
      <w:bodyDiv w:val="1"/>
      <w:marLeft w:val="0"/>
      <w:marRight w:val="0"/>
      <w:marTop w:val="0"/>
      <w:marBottom w:val="0"/>
      <w:divBdr>
        <w:top w:val="none" w:sz="0" w:space="0" w:color="auto"/>
        <w:left w:val="none" w:sz="0" w:space="0" w:color="auto"/>
        <w:bottom w:val="none" w:sz="0" w:space="0" w:color="auto"/>
        <w:right w:val="none" w:sz="0" w:space="0" w:color="auto"/>
      </w:divBdr>
    </w:div>
    <w:div w:id="1152255320">
      <w:bodyDiv w:val="1"/>
      <w:marLeft w:val="0"/>
      <w:marRight w:val="0"/>
      <w:marTop w:val="0"/>
      <w:marBottom w:val="0"/>
      <w:divBdr>
        <w:top w:val="none" w:sz="0" w:space="0" w:color="auto"/>
        <w:left w:val="none" w:sz="0" w:space="0" w:color="auto"/>
        <w:bottom w:val="none" w:sz="0" w:space="0" w:color="auto"/>
        <w:right w:val="none" w:sz="0" w:space="0" w:color="auto"/>
      </w:divBdr>
    </w:div>
    <w:div w:id="1167984076">
      <w:bodyDiv w:val="1"/>
      <w:marLeft w:val="0"/>
      <w:marRight w:val="0"/>
      <w:marTop w:val="0"/>
      <w:marBottom w:val="0"/>
      <w:divBdr>
        <w:top w:val="none" w:sz="0" w:space="0" w:color="auto"/>
        <w:left w:val="none" w:sz="0" w:space="0" w:color="auto"/>
        <w:bottom w:val="none" w:sz="0" w:space="0" w:color="auto"/>
        <w:right w:val="none" w:sz="0" w:space="0" w:color="auto"/>
      </w:divBdr>
    </w:div>
    <w:div w:id="1174999290">
      <w:bodyDiv w:val="1"/>
      <w:marLeft w:val="0"/>
      <w:marRight w:val="0"/>
      <w:marTop w:val="0"/>
      <w:marBottom w:val="0"/>
      <w:divBdr>
        <w:top w:val="none" w:sz="0" w:space="0" w:color="auto"/>
        <w:left w:val="none" w:sz="0" w:space="0" w:color="auto"/>
        <w:bottom w:val="none" w:sz="0" w:space="0" w:color="auto"/>
        <w:right w:val="none" w:sz="0" w:space="0" w:color="auto"/>
      </w:divBdr>
    </w:div>
    <w:div w:id="1186746711">
      <w:bodyDiv w:val="1"/>
      <w:marLeft w:val="0"/>
      <w:marRight w:val="0"/>
      <w:marTop w:val="0"/>
      <w:marBottom w:val="0"/>
      <w:divBdr>
        <w:top w:val="none" w:sz="0" w:space="0" w:color="auto"/>
        <w:left w:val="none" w:sz="0" w:space="0" w:color="auto"/>
        <w:bottom w:val="none" w:sz="0" w:space="0" w:color="auto"/>
        <w:right w:val="none" w:sz="0" w:space="0" w:color="auto"/>
      </w:divBdr>
    </w:div>
    <w:div w:id="1195848229">
      <w:bodyDiv w:val="1"/>
      <w:marLeft w:val="0"/>
      <w:marRight w:val="0"/>
      <w:marTop w:val="0"/>
      <w:marBottom w:val="0"/>
      <w:divBdr>
        <w:top w:val="none" w:sz="0" w:space="0" w:color="auto"/>
        <w:left w:val="none" w:sz="0" w:space="0" w:color="auto"/>
        <w:bottom w:val="none" w:sz="0" w:space="0" w:color="auto"/>
        <w:right w:val="none" w:sz="0" w:space="0" w:color="auto"/>
      </w:divBdr>
    </w:div>
    <w:div w:id="1197936648">
      <w:bodyDiv w:val="1"/>
      <w:marLeft w:val="0"/>
      <w:marRight w:val="0"/>
      <w:marTop w:val="0"/>
      <w:marBottom w:val="0"/>
      <w:divBdr>
        <w:top w:val="none" w:sz="0" w:space="0" w:color="auto"/>
        <w:left w:val="none" w:sz="0" w:space="0" w:color="auto"/>
        <w:bottom w:val="none" w:sz="0" w:space="0" w:color="auto"/>
        <w:right w:val="none" w:sz="0" w:space="0" w:color="auto"/>
      </w:divBdr>
    </w:div>
    <w:div w:id="1206327824">
      <w:bodyDiv w:val="1"/>
      <w:marLeft w:val="0"/>
      <w:marRight w:val="0"/>
      <w:marTop w:val="0"/>
      <w:marBottom w:val="0"/>
      <w:divBdr>
        <w:top w:val="none" w:sz="0" w:space="0" w:color="auto"/>
        <w:left w:val="none" w:sz="0" w:space="0" w:color="auto"/>
        <w:bottom w:val="none" w:sz="0" w:space="0" w:color="auto"/>
        <w:right w:val="none" w:sz="0" w:space="0" w:color="auto"/>
      </w:divBdr>
    </w:div>
    <w:div w:id="1215462111">
      <w:bodyDiv w:val="1"/>
      <w:marLeft w:val="0"/>
      <w:marRight w:val="0"/>
      <w:marTop w:val="0"/>
      <w:marBottom w:val="0"/>
      <w:divBdr>
        <w:top w:val="none" w:sz="0" w:space="0" w:color="auto"/>
        <w:left w:val="none" w:sz="0" w:space="0" w:color="auto"/>
        <w:bottom w:val="none" w:sz="0" w:space="0" w:color="auto"/>
        <w:right w:val="none" w:sz="0" w:space="0" w:color="auto"/>
      </w:divBdr>
    </w:div>
    <w:div w:id="1217619454">
      <w:bodyDiv w:val="1"/>
      <w:marLeft w:val="0"/>
      <w:marRight w:val="0"/>
      <w:marTop w:val="0"/>
      <w:marBottom w:val="0"/>
      <w:divBdr>
        <w:top w:val="none" w:sz="0" w:space="0" w:color="auto"/>
        <w:left w:val="none" w:sz="0" w:space="0" w:color="auto"/>
        <w:bottom w:val="none" w:sz="0" w:space="0" w:color="auto"/>
        <w:right w:val="none" w:sz="0" w:space="0" w:color="auto"/>
      </w:divBdr>
    </w:div>
    <w:div w:id="1218124853">
      <w:bodyDiv w:val="1"/>
      <w:marLeft w:val="0"/>
      <w:marRight w:val="0"/>
      <w:marTop w:val="0"/>
      <w:marBottom w:val="0"/>
      <w:divBdr>
        <w:top w:val="none" w:sz="0" w:space="0" w:color="auto"/>
        <w:left w:val="none" w:sz="0" w:space="0" w:color="auto"/>
        <w:bottom w:val="none" w:sz="0" w:space="0" w:color="auto"/>
        <w:right w:val="none" w:sz="0" w:space="0" w:color="auto"/>
      </w:divBdr>
    </w:div>
    <w:div w:id="1238441228">
      <w:bodyDiv w:val="1"/>
      <w:marLeft w:val="0"/>
      <w:marRight w:val="0"/>
      <w:marTop w:val="0"/>
      <w:marBottom w:val="0"/>
      <w:divBdr>
        <w:top w:val="none" w:sz="0" w:space="0" w:color="auto"/>
        <w:left w:val="none" w:sz="0" w:space="0" w:color="auto"/>
        <w:bottom w:val="none" w:sz="0" w:space="0" w:color="auto"/>
        <w:right w:val="none" w:sz="0" w:space="0" w:color="auto"/>
      </w:divBdr>
    </w:div>
    <w:div w:id="1251281156">
      <w:bodyDiv w:val="1"/>
      <w:marLeft w:val="0"/>
      <w:marRight w:val="0"/>
      <w:marTop w:val="0"/>
      <w:marBottom w:val="0"/>
      <w:divBdr>
        <w:top w:val="none" w:sz="0" w:space="0" w:color="auto"/>
        <w:left w:val="none" w:sz="0" w:space="0" w:color="auto"/>
        <w:bottom w:val="none" w:sz="0" w:space="0" w:color="auto"/>
        <w:right w:val="none" w:sz="0" w:space="0" w:color="auto"/>
      </w:divBdr>
    </w:div>
    <w:div w:id="1254238546">
      <w:bodyDiv w:val="1"/>
      <w:marLeft w:val="0"/>
      <w:marRight w:val="0"/>
      <w:marTop w:val="0"/>
      <w:marBottom w:val="0"/>
      <w:divBdr>
        <w:top w:val="none" w:sz="0" w:space="0" w:color="auto"/>
        <w:left w:val="none" w:sz="0" w:space="0" w:color="auto"/>
        <w:bottom w:val="none" w:sz="0" w:space="0" w:color="auto"/>
        <w:right w:val="none" w:sz="0" w:space="0" w:color="auto"/>
      </w:divBdr>
    </w:div>
    <w:div w:id="1278098672">
      <w:bodyDiv w:val="1"/>
      <w:marLeft w:val="0"/>
      <w:marRight w:val="0"/>
      <w:marTop w:val="0"/>
      <w:marBottom w:val="0"/>
      <w:divBdr>
        <w:top w:val="none" w:sz="0" w:space="0" w:color="auto"/>
        <w:left w:val="none" w:sz="0" w:space="0" w:color="auto"/>
        <w:bottom w:val="none" w:sz="0" w:space="0" w:color="auto"/>
        <w:right w:val="none" w:sz="0" w:space="0" w:color="auto"/>
      </w:divBdr>
    </w:div>
    <w:div w:id="1281523219">
      <w:bodyDiv w:val="1"/>
      <w:marLeft w:val="0"/>
      <w:marRight w:val="0"/>
      <w:marTop w:val="0"/>
      <w:marBottom w:val="0"/>
      <w:divBdr>
        <w:top w:val="none" w:sz="0" w:space="0" w:color="auto"/>
        <w:left w:val="none" w:sz="0" w:space="0" w:color="auto"/>
        <w:bottom w:val="none" w:sz="0" w:space="0" w:color="auto"/>
        <w:right w:val="none" w:sz="0" w:space="0" w:color="auto"/>
      </w:divBdr>
    </w:div>
    <w:div w:id="1282030604">
      <w:bodyDiv w:val="1"/>
      <w:marLeft w:val="0"/>
      <w:marRight w:val="0"/>
      <w:marTop w:val="0"/>
      <w:marBottom w:val="0"/>
      <w:divBdr>
        <w:top w:val="none" w:sz="0" w:space="0" w:color="auto"/>
        <w:left w:val="none" w:sz="0" w:space="0" w:color="auto"/>
        <w:bottom w:val="none" w:sz="0" w:space="0" w:color="auto"/>
        <w:right w:val="none" w:sz="0" w:space="0" w:color="auto"/>
      </w:divBdr>
    </w:div>
    <w:div w:id="1302687593">
      <w:bodyDiv w:val="1"/>
      <w:marLeft w:val="0"/>
      <w:marRight w:val="0"/>
      <w:marTop w:val="0"/>
      <w:marBottom w:val="0"/>
      <w:divBdr>
        <w:top w:val="none" w:sz="0" w:space="0" w:color="auto"/>
        <w:left w:val="none" w:sz="0" w:space="0" w:color="auto"/>
        <w:bottom w:val="none" w:sz="0" w:space="0" w:color="auto"/>
        <w:right w:val="none" w:sz="0" w:space="0" w:color="auto"/>
      </w:divBdr>
    </w:div>
    <w:div w:id="1307472813">
      <w:bodyDiv w:val="1"/>
      <w:marLeft w:val="0"/>
      <w:marRight w:val="0"/>
      <w:marTop w:val="0"/>
      <w:marBottom w:val="0"/>
      <w:divBdr>
        <w:top w:val="none" w:sz="0" w:space="0" w:color="auto"/>
        <w:left w:val="none" w:sz="0" w:space="0" w:color="auto"/>
        <w:bottom w:val="none" w:sz="0" w:space="0" w:color="auto"/>
        <w:right w:val="none" w:sz="0" w:space="0" w:color="auto"/>
      </w:divBdr>
    </w:div>
    <w:div w:id="1311591961">
      <w:bodyDiv w:val="1"/>
      <w:marLeft w:val="0"/>
      <w:marRight w:val="0"/>
      <w:marTop w:val="0"/>
      <w:marBottom w:val="0"/>
      <w:divBdr>
        <w:top w:val="none" w:sz="0" w:space="0" w:color="auto"/>
        <w:left w:val="none" w:sz="0" w:space="0" w:color="auto"/>
        <w:bottom w:val="none" w:sz="0" w:space="0" w:color="auto"/>
        <w:right w:val="none" w:sz="0" w:space="0" w:color="auto"/>
      </w:divBdr>
    </w:div>
    <w:div w:id="1315716182">
      <w:bodyDiv w:val="1"/>
      <w:marLeft w:val="0"/>
      <w:marRight w:val="0"/>
      <w:marTop w:val="0"/>
      <w:marBottom w:val="0"/>
      <w:divBdr>
        <w:top w:val="none" w:sz="0" w:space="0" w:color="auto"/>
        <w:left w:val="none" w:sz="0" w:space="0" w:color="auto"/>
        <w:bottom w:val="none" w:sz="0" w:space="0" w:color="auto"/>
        <w:right w:val="none" w:sz="0" w:space="0" w:color="auto"/>
      </w:divBdr>
    </w:div>
    <w:div w:id="1329284094">
      <w:bodyDiv w:val="1"/>
      <w:marLeft w:val="0"/>
      <w:marRight w:val="0"/>
      <w:marTop w:val="0"/>
      <w:marBottom w:val="0"/>
      <w:divBdr>
        <w:top w:val="none" w:sz="0" w:space="0" w:color="auto"/>
        <w:left w:val="none" w:sz="0" w:space="0" w:color="auto"/>
        <w:bottom w:val="none" w:sz="0" w:space="0" w:color="auto"/>
        <w:right w:val="none" w:sz="0" w:space="0" w:color="auto"/>
      </w:divBdr>
    </w:div>
    <w:div w:id="1332102874">
      <w:bodyDiv w:val="1"/>
      <w:marLeft w:val="0"/>
      <w:marRight w:val="0"/>
      <w:marTop w:val="0"/>
      <w:marBottom w:val="0"/>
      <w:divBdr>
        <w:top w:val="none" w:sz="0" w:space="0" w:color="auto"/>
        <w:left w:val="none" w:sz="0" w:space="0" w:color="auto"/>
        <w:bottom w:val="none" w:sz="0" w:space="0" w:color="auto"/>
        <w:right w:val="none" w:sz="0" w:space="0" w:color="auto"/>
      </w:divBdr>
    </w:div>
    <w:div w:id="1334331443">
      <w:bodyDiv w:val="1"/>
      <w:marLeft w:val="0"/>
      <w:marRight w:val="0"/>
      <w:marTop w:val="0"/>
      <w:marBottom w:val="0"/>
      <w:divBdr>
        <w:top w:val="none" w:sz="0" w:space="0" w:color="auto"/>
        <w:left w:val="none" w:sz="0" w:space="0" w:color="auto"/>
        <w:bottom w:val="none" w:sz="0" w:space="0" w:color="auto"/>
        <w:right w:val="none" w:sz="0" w:space="0" w:color="auto"/>
      </w:divBdr>
    </w:div>
    <w:div w:id="1341857625">
      <w:bodyDiv w:val="1"/>
      <w:marLeft w:val="0"/>
      <w:marRight w:val="0"/>
      <w:marTop w:val="0"/>
      <w:marBottom w:val="0"/>
      <w:divBdr>
        <w:top w:val="none" w:sz="0" w:space="0" w:color="auto"/>
        <w:left w:val="none" w:sz="0" w:space="0" w:color="auto"/>
        <w:bottom w:val="none" w:sz="0" w:space="0" w:color="auto"/>
        <w:right w:val="none" w:sz="0" w:space="0" w:color="auto"/>
      </w:divBdr>
    </w:div>
    <w:div w:id="1367681311">
      <w:bodyDiv w:val="1"/>
      <w:marLeft w:val="0"/>
      <w:marRight w:val="0"/>
      <w:marTop w:val="0"/>
      <w:marBottom w:val="0"/>
      <w:divBdr>
        <w:top w:val="none" w:sz="0" w:space="0" w:color="auto"/>
        <w:left w:val="none" w:sz="0" w:space="0" w:color="auto"/>
        <w:bottom w:val="none" w:sz="0" w:space="0" w:color="auto"/>
        <w:right w:val="none" w:sz="0" w:space="0" w:color="auto"/>
      </w:divBdr>
    </w:div>
    <w:div w:id="1375542074">
      <w:bodyDiv w:val="1"/>
      <w:marLeft w:val="0"/>
      <w:marRight w:val="0"/>
      <w:marTop w:val="0"/>
      <w:marBottom w:val="0"/>
      <w:divBdr>
        <w:top w:val="none" w:sz="0" w:space="0" w:color="auto"/>
        <w:left w:val="none" w:sz="0" w:space="0" w:color="auto"/>
        <w:bottom w:val="none" w:sz="0" w:space="0" w:color="auto"/>
        <w:right w:val="none" w:sz="0" w:space="0" w:color="auto"/>
      </w:divBdr>
    </w:div>
    <w:div w:id="1377655344">
      <w:bodyDiv w:val="1"/>
      <w:marLeft w:val="0"/>
      <w:marRight w:val="0"/>
      <w:marTop w:val="0"/>
      <w:marBottom w:val="0"/>
      <w:divBdr>
        <w:top w:val="none" w:sz="0" w:space="0" w:color="auto"/>
        <w:left w:val="none" w:sz="0" w:space="0" w:color="auto"/>
        <w:bottom w:val="none" w:sz="0" w:space="0" w:color="auto"/>
        <w:right w:val="none" w:sz="0" w:space="0" w:color="auto"/>
      </w:divBdr>
    </w:div>
    <w:div w:id="1381200234">
      <w:bodyDiv w:val="1"/>
      <w:marLeft w:val="0"/>
      <w:marRight w:val="0"/>
      <w:marTop w:val="0"/>
      <w:marBottom w:val="0"/>
      <w:divBdr>
        <w:top w:val="none" w:sz="0" w:space="0" w:color="auto"/>
        <w:left w:val="none" w:sz="0" w:space="0" w:color="auto"/>
        <w:bottom w:val="none" w:sz="0" w:space="0" w:color="auto"/>
        <w:right w:val="none" w:sz="0" w:space="0" w:color="auto"/>
      </w:divBdr>
    </w:div>
    <w:div w:id="1383674360">
      <w:bodyDiv w:val="1"/>
      <w:marLeft w:val="0"/>
      <w:marRight w:val="0"/>
      <w:marTop w:val="0"/>
      <w:marBottom w:val="0"/>
      <w:divBdr>
        <w:top w:val="none" w:sz="0" w:space="0" w:color="auto"/>
        <w:left w:val="none" w:sz="0" w:space="0" w:color="auto"/>
        <w:bottom w:val="none" w:sz="0" w:space="0" w:color="auto"/>
        <w:right w:val="none" w:sz="0" w:space="0" w:color="auto"/>
      </w:divBdr>
    </w:div>
    <w:div w:id="1389955123">
      <w:bodyDiv w:val="1"/>
      <w:marLeft w:val="0"/>
      <w:marRight w:val="0"/>
      <w:marTop w:val="0"/>
      <w:marBottom w:val="0"/>
      <w:divBdr>
        <w:top w:val="none" w:sz="0" w:space="0" w:color="auto"/>
        <w:left w:val="none" w:sz="0" w:space="0" w:color="auto"/>
        <w:bottom w:val="none" w:sz="0" w:space="0" w:color="auto"/>
        <w:right w:val="none" w:sz="0" w:space="0" w:color="auto"/>
      </w:divBdr>
    </w:div>
    <w:div w:id="1392729480">
      <w:bodyDiv w:val="1"/>
      <w:marLeft w:val="0"/>
      <w:marRight w:val="0"/>
      <w:marTop w:val="0"/>
      <w:marBottom w:val="0"/>
      <w:divBdr>
        <w:top w:val="none" w:sz="0" w:space="0" w:color="auto"/>
        <w:left w:val="none" w:sz="0" w:space="0" w:color="auto"/>
        <w:bottom w:val="none" w:sz="0" w:space="0" w:color="auto"/>
        <w:right w:val="none" w:sz="0" w:space="0" w:color="auto"/>
      </w:divBdr>
    </w:div>
    <w:div w:id="1393651507">
      <w:bodyDiv w:val="1"/>
      <w:marLeft w:val="0"/>
      <w:marRight w:val="0"/>
      <w:marTop w:val="0"/>
      <w:marBottom w:val="0"/>
      <w:divBdr>
        <w:top w:val="none" w:sz="0" w:space="0" w:color="auto"/>
        <w:left w:val="none" w:sz="0" w:space="0" w:color="auto"/>
        <w:bottom w:val="none" w:sz="0" w:space="0" w:color="auto"/>
        <w:right w:val="none" w:sz="0" w:space="0" w:color="auto"/>
      </w:divBdr>
    </w:div>
    <w:div w:id="1396734044">
      <w:bodyDiv w:val="1"/>
      <w:marLeft w:val="0"/>
      <w:marRight w:val="0"/>
      <w:marTop w:val="0"/>
      <w:marBottom w:val="0"/>
      <w:divBdr>
        <w:top w:val="none" w:sz="0" w:space="0" w:color="auto"/>
        <w:left w:val="none" w:sz="0" w:space="0" w:color="auto"/>
        <w:bottom w:val="none" w:sz="0" w:space="0" w:color="auto"/>
        <w:right w:val="none" w:sz="0" w:space="0" w:color="auto"/>
      </w:divBdr>
      <w:divsChild>
        <w:div w:id="1949852508">
          <w:marLeft w:val="0"/>
          <w:marRight w:val="0"/>
          <w:marTop w:val="0"/>
          <w:marBottom w:val="0"/>
          <w:divBdr>
            <w:top w:val="none" w:sz="0" w:space="0" w:color="auto"/>
            <w:left w:val="none" w:sz="0" w:space="0" w:color="auto"/>
            <w:bottom w:val="none" w:sz="0" w:space="0" w:color="auto"/>
            <w:right w:val="none" w:sz="0" w:space="0" w:color="auto"/>
          </w:divBdr>
          <w:divsChild>
            <w:div w:id="768043669">
              <w:marLeft w:val="0"/>
              <w:marRight w:val="0"/>
              <w:marTop w:val="0"/>
              <w:marBottom w:val="0"/>
              <w:divBdr>
                <w:top w:val="none" w:sz="0" w:space="0" w:color="auto"/>
                <w:left w:val="none" w:sz="0" w:space="0" w:color="auto"/>
                <w:bottom w:val="none" w:sz="0" w:space="0" w:color="auto"/>
                <w:right w:val="none" w:sz="0" w:space="0" w:color="auto"/>
              </w:divBdr>
              <w:divsChild>
                <w:div w:id="974021770">
                  <w:marLeft w:val="0"/>
                  <w:marRight w:val="0"/>
                  <w:marTop w:val="0"/>
                  <w:marBottom w:val="0"/>
                  <w:divBdr>
                    <w:top w:val="none" w:sz="0" w:space="0" w:color="auto"/>
                    <w:left w:val="none" w:sz="0" w:space="0" w:color="auto"/>
                    <w:bottom w:val="none" w:sz="0" w:space="0" w:color="auto"/>
                    <w:right w:val="none" w:sz="0" w:space="0" w:color="auto"/>
                  </w:divBdr>
                  <w:divsChild>
                    <w:div w:id="123812846">
                      <w:marLeft w:val="0"/>
                      <w:marRight w:val="0"/>
                      <w:marTop w:val="0"/>
                      <w:marBottom w:val="0"/>
                      <w:divBdr>
                        <w:top w:val="none" w:sz="0" w:space="0" w:color="auto"/>
                        <w:left w:val="none" w:sz="0" w:space="0" w:color="auto"/>
                        <w:bottom w:val="none" w:sz="0" w:space="0" w:color="auto"/>
                        <w:right w:val="none" w:sz="0" w:space="0" w:color="auto"/>
                      </w:divBdr>
                      <w:divsChild>
                        <w:div w:id="1118061172">
                          <w:marLeft w:val="0"/>
                          <w:marRight w:val="0"/>
                          <w:marTop w:val="0"/>
                          <w:marBottom w:val="0"/>
                          <w:divBdr>
                            <w:top w:val="none" w:sz="0" w:space="0" w:color="auto"/>
                            <w:left w:val="none" w:sz="0" w:space="0" w:color="auto"/>
                            <w:bottom w:val="none" w:sz="0" w:space="0" w:color="auto"/>
                            <w:right w:val="none" w:sz="0" w:space="0" w:color="auto"/>
                          </w:divBdr>
                          <w:divsChild>
                            <w:div w:id="1141965799">
                              <w:marLeft w:val="0"/>
                              <w:marRight w:val="0"/>
                              <w:marTop w:val="0"/>
                              <w:marBottom w:val="0"/>
                              <w:divBdr>
                                <w:top w:val="none" w:sz="0" w:space="0" w:color="auto"/>
                                <w:left w:val="none" w:sz="0" w:space="0" w:color="auto"/>
                                <w:bottom w:val="none" w:sz="0" w:space="0" w:color="auto"/>
                                <w:right w:val="none" w:sz="0" w:space="0" w:color="auto"/>
                              </w:divBdr>
                              <w:divsChild>
                                <w:div w:id="1495300376">
                                  <w:marLeft w:val="0"/>
                                  <w:marRight w:val="0"/>
                                  <w:marTop w:val="0"/>
                                  <w:marBottom w:val="0"/>
                                  <w:divBdr>
                                    <w:top w:val="none" w:sz="0" w:space="0" w:color="auto"/>
                                    <w:left w:val="none" w:sz="0" w:space="0" w:color="auto"/>
                                    <w:bottom w:val="none" w:sz="0" w:space="0" w:color="auto"/>
                                    <w:right w:val="none" w:sz="0" w:space="0" w:color="auto"/>
                                  </w:divBdr>
                                  <w:divsChild>
                                    <w:div w:id="225921418">
                                      <w:marLeft w:val="0"/>
                                      <w:marRight w:val="0"/>
                                      <w:marTop w:val="0"/>
                                      <w:marBottom w:val="0"/>
                                      <w:divBdr>
                                        <w:top w:val="none" w:sz="0" w:space="0" w:color="auto"/>
                                        <w:left w:val="none" w:sz="0" w:space="0" w:color="auto"/>
                                        <w:bottom w:val="none" w:sz="0" w:space="0" w:color="auto"/>
                                        <w:right w:val="none" w:sz="0" w:space="0" w:color="auto"/>
                                      </w:divBdr>
                                      <w:divsChild>
                                        <w:div w:id="193201533">
                                          <w:marLeft w:val="0"/>
                                          <w:marRight w:val="0"/>
                                          <w:marTop w:val="0"/>
                                          <w:marBottom w:val="0"/>
                                          <w:divBdr>
                                            <w:top w:val="none" w:sz="0" w:space="0" w:color="auto"/>
                                            <w:left w:val="none" w:sz="0" w:space="0" w:color="auto"/>
                                            <w:bottom w:val="none" w:sz="0" w:space="0" w:color="auto"/>
                                            <w:right w:val="none" w:sz="0" w:space="0" w:color="auto"/>
                                          </w:divBdr>
                                          <w:divsChild>
                                            <w:div w:id="461580768">
                                              <w:marLeft w:val="0"/>
                                              <w:marRight w:val="0"/>
                                              <w:marTop w:val="0"/>
                                              <w:marBottom w:val="0"/>
                                              <w:divBdr>
                                                <w:top w:val="none" w:sz="0" w:space="0" w:color="auto"/>
                                                <w:left w:val="none" w:sz="0" w:space="0" w:color="auto"/>
                                                <w:bottom w:val="none" w:sz="0" w:space="0" w:color="auto"/>
                                                <w:right w:val="none" w:sz="0" w:space="0" w:color="auto"/>
                                              </w:divBdr>
                                              <w:divsChild>
                                                <w:div w:id="752505415">
                                                  <w:marLeft w:val="0"/>
                                                  <w:marRight w:val="0"/>
                                                  <w:marTop w:val="0"/>
                                                  <w:marBottom w:val="0"/>
                                                  <w:divBdr>
                                                    <w:top w:val="none" w:sz="0" w:space="0" w:color="auto"/>
                                                    <w:left w:val="none" w:sz="0" w:space="0" w:color="auto"/>
                                                    <w:bottom w:val="none" w:sz="0" w:space="0" w:color="auto"/>
                                                    <w:right w:val="none" w:sz="0" w:space="0" w:color="auto"/>
                                                  </w:divBdr>
                                                  <w:divsChild>
                                                    <w:div w:id="627665208">
                                                      <w:marLeft w:val="0"/>
                                                      <w:marRight w:val="0"/>
                                                      <w:marTop w:val="0"/>
                                                      <w:marBottom w:val="0"/>
                                                      <w:divBdr>
                                                        <w:top w:val="none" w:sz="0" w:space="0" w:color="auto"/>
                                                        <w:left w:val="none" w:sz="0" w:space="0" w:color="auto"/>
                                                        <w:bottom w:val="none" w:sz="0" w:space="0" w:color="auto"/>
                                                        <w:right w:val="none" w:sz="0" w:space="0" w:color="auto"/>
                                                      </w:divBdr>
                                                      <w:divsChild>
                                                        <w:div w:id="466431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05645562">
      <w:bodyDiv w:val="1"/>
      <w:marLeft w:val="0"/>
      <w:marRight w:val="0"/>
      <w:marTop w:val="0"/>
      <w:marBottom w:val="0"/>
      <w:divBdr>
        <w:top w:val="none" w:sz="0" w:space="0" w:color="auto"/>
        <w:left w:val="none" w:sz="0" w:space="0" w:color="auto"/>
        <w:bottom w:val="none" w:sz="0" w:space="0" w:color="auto"/>
        <w:right w:val="none" w:sz="0" w:space="0" w:color="auto"/>
      </w:divBdr>
    </w:div>
    <w:div w:id="1410493951">
      <w:bodyDiv w:val="1"/>
      <w:marLeft w:val="0"/>
      <w:marRight w:val="0"/>
      <w:marTop w:val="0"/>
      <w:marBottom w:val="0"/>
      <w:divBdr>
        <w:top w:val="none" w:sz="0" w:space="0" w:color="auto"/>
        <w:left w:val="none" w:sz="0" w:space="0" w:color="auto"/>
        <w:bottom w:val="none" w:sz="0" w:space="0" w:color="auto"/>
        <w:right w:val="none" w:sz="0" w:space="0" w:color="auto"/>
      </w:divBdr>
    </w:div>
    <w:div w:id="1415974882">
      <w:bodyDiv w:val="1"/>
      <w:marLeft w:val="0"/>
      <w:marRight w:val="0"/>
      <w:marTop w:val="0"/>
      <w:marBottom w:val="0"/>
      <w:divBdr>
        <w:top w:val="none" w:sz="0" w:space="0" w:color="auto"/>
        <w:left w:val="none" w:sz="0" w:space="0" w:color="auto"/>
        <w:bottom w:val="none" w:sz="0" w:space="0" w:color="auto"/>
        <w:right w:val="none" w:sz="0" w:space="0" w:color="auto"/>
      </w:divBdr>
    </w:div>
    <w:div w:id="1420367215">
      <w:bodyDiv w:val="1"/>
      <w:marLeft w:val="0"/>
      <w:marRight w:val="0"/>
      <w:marTop w:val="0"/>
      <w:marBottom w:val="0"/>
      <w:divBdr>
        <w:top w:val="none" w:sz="0" w:space="0" w:color="auto"/>
        <w:left w:val="none" w:sz="0" w:space="0" w:color="auto"/>
        <w:bottom w:val="none" w:sz="0" w:space="0" w:color="auto"/>
        <w:right w:val="none" w:sz="0" w:space="0" w:color="auto"/>
      </w:divBdr>
    </w:div>
    <w:div w:id="1461606417">
      <w:bodyDiv w:val="1"/>
      <w:marLeft w:val="0"/>
      <w:marRight w:val="0"/>
      <w:marTop w:val="0"/>
      <w:marBottom w:val="0"/>
      <w:divBdr>
        <w:top w:val="none" w:sz="0" w:space="0" w:color="auto"/>
        <w:left w:val="none" w:sz="0" w:space="0" w:color="auto"/>
        <w:bottom w:val="none" w:sz="0" w:space="0" w:color="auto"/>
        <w:right w:val="none" w:sz="0" w:space="0" w:color="auto"/>
      </w:divBdr>
    </w:div>
    <w:div w:id="1469738311">
      <w:bodyDiv w:val="1"/>
      <w:marLeft w:val="0"/>
      <w:marRight w:val="0"/>
      <w:marTop w:val="0"/>
      <w:marBottom w:val="0"/>
      <w:divBdr>
        <w:top w:val="none" w:sz="0" w:space="0" w:color="auto"/>
        <w:left w:val="none" w:sz="0" w:space="0" w:color="auto"/>
        <w:bottom w:val="none" w:sz="0" w:space="0" w:color="auto"/>
        <w:right w:val="none" w:sz="0" w:space="0" w:color="auto"/>
      </w:divBdr>
    </w:div>
    <w:div w:id="1472870142">
      <w:bodyDiv w:val="1"/>
      <w:marLeft w:val="0"/>
      <w:marRight w:val="0"/>
      <w:marTop w:val="0"/>
      <w:marBottom w:val="0"/>
      <w:divBdr>
        <w:top w:val="none" w:sz="0" w:space="0" w:color="auto"/>
        <w:left w:val="none" w:sz="0" w:space="0" w:color="auto"/>
        <w:bottom w:val="none" w:sz="0" w:space="0" w:color="auto"/>
        <w:right w:val="none" w:sz="0" w:space="0" w:color="auto"/>
      </w:divBdr>
      <w:divsChild>
        <w:div w:id="1740205519">
          <w:marLeft w:val="0"/>
          <w:marRight w:val="0"/>
          <w:marTop w:val="0"/>
          <w:marBottom w:val="0"/>
          <w:divBdr>
            <w:top w:val="none" w:sz="0" w:space="0" w:color="auto"/>
            <w:left w:val="none" w:sz="0" w:space="0" w:color="auto"/>
            <w:bottom w:val="none" w:sz="0" w:space="0" w:color="auto"/>
            <w:right w:val="none" w:sz="0" w:space="0" w:color="auto"/>
          </w:divBdr>
          <w:divsChild>
            <w:div w:id="853493704">
              <w:marLeft w:val="0"/>
              <w:marRight w:val="0"/>
              <w:marTop w:val="0"/>
              <w:marBottom w:val="0"/>
              <w:divBdr>
                <w:top w:val="none" w:sz="0" w:space="0" w:color="auto"/>
                <w:left w:val="none" w:sz="0" w:space="0" w:color="auto"/>
                <w:bottom w:val="none" w:sz="0" w:space="0" w:color="auto"/>
                <w:right w:val="none" w:sz="0" w:space="0" w:color="auto"/>
              </w:divBdr>
              <w:divsChild>
                <w:div w:id="1672022845">
                  <w:marLeft w:val="0"/>
                  <w:marRight w:val="0"/>
                  <w:marTop w:val="0"/>
                  <w:marBottom w:val="0"/>
                  <w:divBdr>
                    <w:top w:val="none" w:sz="0" w:space="0" w:color="auto"/>
                    <w:left w:val="none" w:sz="0" w:space="0" w:color="auto"/>
                    <w:bottom w:val="none" w:sz="0" w:space="0" w:color="auto"/>
                    <w:right w:val="none" w:sz="0" w:space="0" w:color="auto"/>
                  </w:divBdr>
                  <w:divsChild>
                    <w:div w:id="97023150">
                      <w:marLeft w:val="0"/>
                      <w:marRight w:val="0"/>
                      <w:marTop w:val="0"/>
                      <w:marBottom w:val="0"/>
                      <w:divBdr>
                        <w:top w:val="none" w:sz="0" w:space="0" w:color="auto"/>
                        <w:left w:val="none" w:sz="0" w:space="0" w:color="auto"/>
                        <w:bottom w:val="none" w:sz="0" w:space="0" w:color="auto"/>
                        <w:right w:val="none" w:sz="0" w:space="0" w:color="auto"/>
                      </w:divBdr>
                      <w:divsChild>
                        <w:div w:id="1617131065">
                          <w:marLeft w:val="0"/>
                          <w:marRight w:val="0"/>
                          <w:marTop w:val="0"/>
                          <w:marBottom w:val="0"/>
                          <w:divBdr>
                            <w:top w:val="none" w:sz="0" w:space="0" w:color="auto"/>
                            <w:left w:val="none" w:sz="0" w:space="0" w:color="auto"/>
                            <w:bottom w:val="none" w:sz="0" w:space="0" w:color="auto"/>
                            <w:right w:val="none" w:sz="0" w:space="0" w:color="auto"/>
                          </w:divBdr>
                          <w:divsChild>
                            <w:div w:id="1622958356">
                              <w:marLeft w:val="0"/>
                              <w:marRight w:val="0"/>
                              <w:marTop w:val="0"/>
                              <w:marBottom w:val="0"/>
                              <w:divBdr>
                                <w:top w:val="none" w:sz="0" w:space="0" w:color="auto"/>
                                <w:left w:val="none" w:sz="0" w:space="0" w:color="auto"/>
                                <w:bottom w:val="none" w:sz="0" w:space="0" w:color="auto"/>
                                <w:right w:val="none" w:sz="0" w:space="0" w:color="auto"/>
                              </w:divBdr>
                              <w:divsChild>
                                <w:div w:id="1416246628">
                                  <w:marLeft w:val="0"/>
                                  <w:marRight w:val="0"/>
                                  <w:marTop w:val="0"/>
                                  <w:marBottom w:val="0"/>
                                  <w:divBdr>
                                    <w:top w:val="none" w:sz="0" w:space="0" w:color="auto"/>
                                    <w:left w:val="none" w:sz="0" w:space="0" w:color="auto"/>
                                    <w:bottom w:val="none" w:sz="0" w:space="0" w:color="auto"/>
                                    <w:right w:val="none" w:sz="0" w:space="0" w:color="auto"/>
                                  </w:divBdr>
                                  <w:divsChild>
                                    <w:div w:id="1691057677">
                                      <w:marLeft w:val="0"/>
                                      <w:marRight w:val="0"/>
                                      <w:marTop w:val="0"/>
                                      <w:marBottom w:val="0"/>
                                      <w:divBdr>
                                        <w:top w:val="none" w:sz="0" w:space="0" w:color="auto"/>
                                        <w:left w:val="none" w:sz="0" w:space="0" w:color="auto"/>
                                        <w:bottom w:val="none" w:sz="0" w:space="0" w:color="auto"/>
                                        <w:right w:val="none" w:sz="0" w:space="0" w:color="auto"/>
                                      </w:divBdr>
                                      <w:divsChild>
                                        <w:div w:id="2130515001">
                                          <w:marLeft w:val="0"/>
                                          <w:marRight w:val="0"/>
                                          <w:marTop w:val="0"/>
                                          <w:marBottom w:val="0"/>
                                          <w:divBdr>
                                            <w:top w:val="none" w:sz="0" w:space="0" w:color="auto"/>
                                            <w:left w:val="none" w:sz="0" w:space="0" w:color="auto"/>
                                            <w:bottom w:val="none" w:sz="0" w:space="0" w:color="auto"/>
                                            <w:right w:val="none" w:sz="0" w:space="0" w:color="auto"/>
                                          </w:divBdr>
                                          <w:divsChild>
                                            <w:div w:id="684870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74635028">
      <w:bodyDiv w:val="1"/>
      <w:marLeft w:val="0"/>
      <w:marRight w:val="0"/>
      <w:marTop w:val="0"/>
      <w:marBottom w:val="0"/>
      <w:divBdr>
        <w:top w:val="none" w:sz="0" w:space="0" w:color="auto"/>
        <w:left w:val="none" w:sz="0" w:space="0" w:color="auto"/>
        <w:bottom w:val="none" w:sz="0" w:space="0" w:color="auto"/>
        <w:right w:val="none" w:sz="0" w:space="0" w:color="auto"/>
      </w:divBdr>
    </w:div>
    <w:div w:id="1480658900">
      <w:bodyDiv w:val="1"/>
      <w:marLeft w:val="0"/>
      <w:marRight w:val="0"/>
      <w:marTop w:val="0"/>
      <w:marBottom w:val="0"/>
      <w:divBdr>
        <w:top w:val="none" w:sz="0" w:space="0" w:color="auto"/>
        <w:left w:val="none" w:sz="0" w:space="0" w:color="auto"/>
        <w:bottom w:val="none" w:sz="0" w:space="0" w:color="auto"/>
        <w:right w:val="none" w:sz="0" w:space="0" w:color="auto"/>
      </w:divBdr>
    </w:div>
    <w:div w:id="1499534629">
      <w:bodyDiv w:val="1"/>
      <w:marLeft w:val="0"/>
      <w:marRight w:val="0"/>
      <w:marTop w:val="0"/>
      <w:marBottom w:val="0"/>
      <w:divBdr>
        <w:top w:val="none" w:sz="0" w:space="0" w:color="auto"/>
        <w:left w:val="none" w:sz="0" w:space="0" w:color="auto"/>
        <w:bottom w:val="none" w:sz="0" w:space="0" w:color="auto"/>
        <w:right w:val="none" w:sz="0" w:space="0" w:color="auto"/>
      </w:divBdr>
    </w:div>
    <w:div w:id="1507013587">
      <w:bodyDiv w:val="1"/>
      <w:marLeft w:val="0"/>
      <w:marRight w:val="0"/>
      <w:marTop w:val="0"/>
      <w:marBottom w:val="0"/>
      <w:divBdr>
        <w:top w:val="none" w:sz="0" w:space="0" w:color="auto"/>
        <w:left w:val="none" w:sz="0" w:space="0" w:color="auto"/>
        <w:bottom w:val="none" w:sz="0" w:space="0" w:color="auto"/>
        <w:right w:val="none" w:sz="0" w:space="0" w:color="auto"/>
      </w:divBdr>
    </w:div>
    <w:div w:id="1510830607">
      <w:bodyDiv w:val="1"/>
      <w:marLeft w:val="0"/>
      <w:marRight w:val="0"/>
      <w:marTop w:val="0"/>
      <w:marBottom w:val="0"/>
      <w:divBdr>
        <w:top w:val="none" w:sz="0" w:space="0" w:color="auto"/>
        <w:left w:val="none" w:sz="0" w:space="0" w:color="auto"/>
        <w:bottom w:val="none" w:sz="0" w:space="0" w:color="auto"/>
        <w:right w:val="none" w:sz="0" w:space="0" w:color="auto"/>
      </w:divBdr>
    </w:div>
    <w:div w:id="1514950479">
      <w:bodyDiv w:val="1"/>
      <w:marLeft w:val="0"/>
      <w:marRight w:val="0"/>
      <w:marTop w:val="0"/>
      <w:marBottom w:val="0"/>
      <w:divBdr>
        <w:top w:val="none" w:sz="0" w:space="0" w:color="auto"/>
        <w:left w:val="none" w:sz="0" w:space="0" w:color="auto"/>
        <w:bottom w:val="none" w:sz="0" w:space="0" w:color="auto"/>
        <w:right w:val="none" w:sz="0" w:space="0" w:color="auto"/>
      </w:divBdr>
    </w:div>
    <w:div w:id="1522545144">
      <w:bodyDiv w:val="1"/>
      <w:marLeft w:val="0"/>
      <w:marRight w:val="0"/>
      <w:marTop w:val="0"/>
      <w:marBottom w:val="0"/>
      <w:divBdr>
        <w:top w:val="none" w:sz="0" w:space="0" w:color="auto"/>
        <w:left w:val="none" w:sz="0" w:space="0" w:color="auto"/>
        <w:bottom w:val="none" w:sz="0" w:space="0" w:color="auto"/>
        <w:right w:val="none" w:sz="0" w:space="0" w:color="auto"/>
      </w:divBdr>
    </w:div>
    <w:div w:id="1536890364">
      <w:bodyDiv w:val="1"/>
      <w:marLeft w:val="0"/>
      <w:marRight w:val="0"/>
      <w:marTop w:val="0"/>
      <w:marBottom w:val="0"/>
      <w:divBdr>
        <w:top w:val="none" w:sz="0" w:space="0" w:color="auto"/>
        <w:left w:val="none" w:sz="0" w:space="0" w:color="auto"/>
        <w:bottom w:val="none" w:sz="0" w:space="0" w:color="auto"/>
        <w:right w:val="none" w:sz="0" w:space="0" w:color="auto"/>
      </w:divBdr>
    </w:div>
    <w:div w:id="1560168676">
      <w:bodyDiv w:val="1"/>
      <w:marLeft w:val="0"/>
      <w:marRight w:val="0"/>
      <w:marTop w:val="0"/>
      <w:marBottom w:val="0"/>
      <w:divBdr>
        <w:top w:val="none" w:sz="0" w:space="0" w:color="auto"/>
        <w:left w:val="none" w:sz="0" w:space="0" w:color="auto"/>
        <w:bottom w:val="none" w:sz="0" w:space="0" w:color="auto"/>
        <w:right w:val="none" w:sz="0" w:space="0" w:color="auto"/>
      </w:divBdr>
    </w:div>
    <w:div w:id="1570966742">
      <w:bodyDiv w:val="1"/>
      <w:marLeft w:val="0"/>
      <w:marRight w:val="0"/>
      <w:marTop w:val="0"/>
      <w:marBottom w:val="0"/>
      <w:divBdr>
        <w:top w:val="none" w:sz="0" w:space="0" w:color="auto"/>
        <w:left w:val="none" w:sz="0" w:space="0" w:color="auto"/>
        <w:bottom w:val="none" w:sz="0" w:space="0" w:color="auto"/>
        <w:right w:val="none" w:sz="0" w:space="0" w:color="auto"/>
      </w:divBdr>
    </w:div>
    <w:div w:id="1580749979">
      <w:bodyDiv w:val="1"/>
      <w:marLeft w:val="0"/>
      <w:marRight w:val="0"/>
      <w:marTop w:val="0"/>
      <w:marBottom w:val="0"/>
      <w:divBdr>
        <w:top w:val="none" w:sz="0" w:space="0" w:color="auto"/>
        <w:left w:val="none" w:sz="0" w:space="0" w:color="auto"/>
        <w:bottom w:val="none" w:sz="0" w:space="0" w:color="auto"/>
        <w:right w:val="none" w:sz="0" w:space="0" w:color="auto"/>
      </w:divBdr>
    </w:div>
    <w:div w:id="1581022901">
      <w:bodyDiv w:val="1"/>
      <w:marLeft w:val="0"/>
      <w:marRight w:val="0"/>
      <w:marTop w:val="0"/>
      <w:marBottom w:val="0"/>
      <w:divBdr>
        <w:top w:val="none" w:sz="0" w:space="0" w:color="auto"/>
        <w:left w:val="none" w:sz="0" w:space="0" w:color="auto"/>
        <w:bottom w:val="none" w:sz="0" w:space="0" w:color="auto"/>
        <w:right w:val="none" w:sz="0" w:space="0" w:color="auto"/>
      </w:divBdr>
    </w:div>
    <w:div w:id="1591113254">
      <w:bodyDiv w:val="1"/>
      <w:marLeft w:val="0"/>
      <w:marRight w:val="0"/>
      <w:marTop w:val="0"/>
      <w:marBottom w:val="0"/>
      <w:divBdr>
        <w:top w:val="none" w:sz="0" w:space="0" w:color="auto"/>
        <w:left w:val="none" w:sz="0" w:space="0" w:color="auto"/>
        <w:bottom w:val="none" w:sz="0" w:space="0" w:color="auto"/>
        <w:right w:val="none" w:sz="0" w:space="0" w:color="auto"/>
      </w:divBdr>
    </w:div>
    <w:div w:id="1603491972">
      <w:bodyDiv w:val="1"/>
      <w:marLeft w:val="0"/>
      <w:marRight w:val="0"/>
      <w:marTop w:val="0"/>
      <w:marBottom w:val="0"/>
      <w:divBdr>
        <w:top w:val="none" w:sz="0" w:space="0" w:color="auto"/>
        <w:left w:val="none" w:sz="0" w:space="0" w:color="auto"/>
        <w:bottom w:val="none" w:sz="0" w:space="0" w:color="auto"/>
        <w:right w:val="none" w:sz="0" w:space="0" w:color="auto"/>
      </w:divBdr>
    </w:div>
    <w:div w:id="1608002231">
      <w:bodyDiv w:val="1"/>
      <w:marLeft w:val="0"/>
      <w:marRight w:val="0"/>
      <w:marTop w:val="0"/>
      <w:marBottom w:val="0"/>
      <w:divBdr>
        <w:top w:val="none" w:sz="0" w:space="0" w:color="auto"/>
        <w:left w:val="none" w:sz="0" w:space="0" w:color="auto"/>
        <w:bottom w:val="none" w:sz="0" w:space="0" w:color="auto"/>
        <w:right w:val="none" w:sz="0" w:space="0" w:color="auto"/>
      </w:divBdr>
    </w:div>
    <w:div w:id="1616446854">
      <w:bodyDiv w:val="1"/>
      <w:marLeft w:val="0"/>
      <w:marRight w:val="0"/>
      <w:marTop w:val="0"/>
      <w:marBottom w:val="0"/>
      <w:divBdr>
        <w:top w:val="none" w:sz="0" w:space="0" w:color="auto"/>
        <w:left w:val="none" w:sz="0" w:space="0" w:color="auto"/>
        <w:bottom w:val="none" w:sz="0" w:space="0" w:color="auto"/>
        <w:right w:val="none" w:sz="0" w:space="0" w:color="auto"/>
      </w:divBdr>
    </w:div>
    <w:div w:id="1638874606">
      <w:bodyDiv w:val="1"/>
      <w:marLeft w:val="0"/>
      <w:marRight w:val="0"/>
      <w:marTop w:val="0"/>
      <w:marBottom w:val="0"/>
      <w:divBdr>
        <w:top w:val="none" w:sz="0" w:space="0" w:color="auto"/>
        <w:left w:val="none" w:sz="0" w:space="0" w:color="auto"/>
        <w:bottom w:val="none" w:sz="0" w:space="0" w:color="auto"/>
        <w:right w:val="none" w:sz="0" w:space="0" w:color="auto"/>
      </w:divBdr>
    </w:div>
    <w:div w:id="1641883998">
      <w:bodyDiv w:val="1"/>
      <w:marLeft w:val="0"/>
      <w:marRight w:val="0"/>
      <w:marTop w:val="0"/>
      <w:marBottom w:val="0"/>
      <w:divBdr>
        <w:top w:val="none" w:sz="0" w:space="0" w:color="auto"/>
        <w:left w:val="none" w:sz="0" w:space="0" w:color="auto"/>
        <w:bottom w:val="none" w:sz="0" w:space="0" w:color="auto"/>
        <w:right w:val="none" w:sz="0" w:space="0" w:color="auto"/>
      </w:divBdr>
    </w:div>
    <w:div w:id="1643730592">
      <w:bodyDiv w:val="1"/>
      <w:marLeft w:val="0"/>
      <w:marRight w:val="0"/>
      <w:marTop w:val="0"/>
      <w:marBottom w:val="0"/>
      <w:divBdr>
        <w:top w:val="none" w:sz="0" w:space="0" w:color="auto"/>
        <w:left w:val="none" w:sz="0" w:space="0" w:color="auto"/>
        <w:bottom w:val="none" w:sz="0" w:space="0" w:color="auto"/>
        <w:right w:val="none" w:sz="0" w:space="0" w:color="auto"/>
      </w:divBdr>
    </w:div>
    <w:div w:id="1645310886">
      <w:bodyDiv w:val="1"/>
      <w:marLeft w:val="0"/>
      <w:marRight w:val="0"/>
      <w:marTop w:val="0"/>
      <w:marBottom w:val="0"/>
      <w:divBdr>
        <w:top w:val="none" w:sz="0" w:space="0" w:color="auto"/>
        <w:left w:val="none" w:sz="0" w:space="0" w:color="auto"/>
        <w:bottom w:val="none" w:sz="0" w:space="0" w:color="auto"/>
        <w:right w:val="none" w:sz="0" w:space="0" w:color="auto"/>
      </w:divBdr>
    </w:div>
    <w:div w:id="1659992440">
      <w:bodyDiv w:val="1"/>
      <w:marLeft w:val="0"/>
      <w:marRight w:val="0"/>
      <w:marTop w:val="0"/>
      <w:marBottom w:val="0"/>
      <w:divBdr>
        <w:top w:val="none" w:sz="0" w:space="0" w:color="auto"/>
        <w:left w:val="none" w:sz="0" w:space="0" w:color="auto"/>
        <w:bottom w:val="none" w:sz="0" w:space="0" w:color="auto"/>
        <w:right w:val="none" w:sz="0" w:space="0" w:color="auto"/>
      </w:divBdr>
    </w:div>
    <w:div w:id="1663198373">
      <w:bodyDiv w:val="1"/>
      <w:marLeft w:val="0"/>
      <w:marRight w:val="0"/>
      <w:marTop w:val="0"/>
      <w:marBottom w:val="0"/>
      <w:divBdr>
        <w:top w:val="none" w:sz="0" w:space="0" w:color="auto"/>
        <w:left w:val="none" w:sz="0" w:space="0" w:color="auto"/>
        <w:bottom w:val="none" w:sz="0" w:space="0" w:color="auto"/>
        <w:right w:val="none" w:sz="0" w:space="0" w:color="auto"/>
      </w:divBdr>
    </w:div>
    <w:div w:id="1666203967">
      <w:bodyDiv w:val="1"/>
      <w:marLeft w:val="0"/>
      <w:marRight w:val="0"/>
      <w:marTop w:val="0"/>
      <w:marBottom w:val="0"/>
      <w:divBdr>
        <w:top w:val="none" w:sz="0" w:space="0" w:color="auto"/>
        <w:left w:val="none" w:sz="0" w:space="0" w:color="auto"/>
        <w:bottom w:val="none" w:sz="0" w:space="0" w:color="auto"/>
        <w:right w:val="none" w:sz="0" w:space="0" w:color="auto"/>
      </w:divBdr>
    </w:div>
    <w:div w:id="1668828123">
      <w:bodyDiv w:val="1"/>
      <w:marLeft w:val="0"/>
      <w:marRight w:val="0"/>
      <w:marTop w:val="0"/>
      <w:marBottom w:val="0"/>
      <w:divBdr>
        <w:top w:val="none" w:sz="0" w:space="0" w:color="auto"/>
        <w:left w:val="none" w:sz="0" w:space="0" w:color="auto"/>
        <w:bottom w:val="none" w:sz="0" w:space="0" w:color="auto"/>
        <w:right w:val="none" w:sz="0" w:space="0" w:color="auto"/>
      </w:divBdr>
    </w:div>
    <w:div w:id="1670913089">
      <w:bodyDiv w:val="1"/>
      <w:marLeft w:val="0"/>
      <w:marRight w:val="0"/>
      <w:marTop w:val="0"/>
      <w:marBottom w:val="0"/>
      <w:divBdr>
        <w:top w:val="none" w:sz="0" w:space="0" w:color="auto"/>
        <w:left w:val="none" w:sz="0" w:space="0" w:color="auto"/>
        <w:bottom w:val="none" w:sz="0" w:space="0" w:color="auto"/>
        <w:right w:val="none" w:sz="0" w:space="0" w:color="auto"/>
      </w:divBdr>
    </w:div>
    <w:div w:id="1697537028">
      <w:bodyDiv w:val="1"/>
      <w:marLeft w:val="0"/>
      <w:marRight w:val="0"/>
      <w:marTop w:val="0"/>
      <w:marBottom w:val="0"/>
      <w:divBdr>
        <w:top w:val="none" w:sz="0" w:space="0" w:color="auto"/>
        <w:left w:val="none" w:sz="0" w:space="0" w:color="auto"/>
        <w:bottom w:val="none" w:sz="0" w:space="0" w:color="auto"/>
        <w:right w:val="none" w:sz="0" w:space="0" w:color="auto"/>
      </w:divBdr>
    </w:div>
    <w:div w:id="1732070720">
      <w:bodyDiv w:val="1"/>
      <w:marLeft w:val="0"/>
      <w:marRight w:val="0"/>
      <w:marTop w:val="0"/>
      <w:marBottom w:val="0"/>
      <w:divBdr>
        <w:top w:val="none" w:sz="0" w:space="0" w:color="auto"/>
        <w:left w:val="none" w:sz="0" w:space="0" w:color="auto"/>
        <w:bottom w:val="none" w:sz="0" w:space="0" w:color="auto"/>
        <w:right w:val="none" w:sz="0" w:space="0" w:color="auto"/>
      </w:divBdr>
    </w:div>
    <w:div w:id="1732655753">
      <w:bodyDiv w:val="1"/>
      <w:marLeft w:val="0"/>
      <w:marRight w:val="0"/>
      <w:marTop w:val="0"/>
      <w:marBottom w:val="0"/>
      <w:divBdr>
        <w:top w:val="none" w:sz="0" w:space="0" w:color="auto"/>
        <w:left w:val="none" w:sz="0" w:space="0" w:color="auto"/>
        <w:bottom w:val="none" w:sz="0" w:space="0" w:color="auto"/>
        <w:right w:val="none" w:sz="0" w:space="0" w:color="auto"/>
      </w:divBdr>
    </w:div>
    <w:div w:id="1732850656">
      <w:bodyDiv w:val="1"/>
      <w:marLeft w:val="0"/>
      <w:marRight w:val="0"/>
      <w:marTop w:val="0"/>
      <w:marBottom w:val="0"/>
      <w:divBdr>
        <w:top w:val="none" w:sz="0" w:space="0" w:color="auto"/>
        <w:left w:val="none" w:sz="0" w:space="0" w:color="auto"/>
        <w:bottom w:val="none" w:sz="0" w:space="0" w:color="auto"/>
        <w:right w:val="none" w:sz="0" w:space="0" w:color="auto"/>
      </w:divBdr>
    </w:div>
    <w:div w:id="1742217500">
      <w:bodyDiv w:val="1"/>
      <w:marLeft w:val="0"/>
      <w:marRight w:val="0"/>
      <w:marTop w:val="0"/>
      <w:marBottom w:val="0"/>
      <w:divBdr>
        <w:top w:val="none" w:sz="0" w:space="0" w:color="auto"/>
        <w:left w:val="none" w:sz="0" w:space="0" w:color="auto"/>
        <w:bottom w:val="none" w:sz="0" w:space="0" w:color="auto"/>
        <w:right w:val="none" w:sz="0" w:space="0" w:color="auto"/>
      </w:divBdr>
    </w:div>
    <w:div w:id="1764255153">
      <w:bodyDiv w:val="1"/>
      <w:marLeft w:val="0"/>
      <w:marRight w:val="0"/>
      <w:marTop w:val="0"/>
      <w:marBottom w:val="0"/>
      <w:divBdr>
        <w:top w:val="none" w:sz="0" w:space="0" w:color="auto"/>
        <w:left w:val="none" w:sz="0" w:space="0" w:color="auto"/>
        <w:bottom w:val="none" w:sz="0" w:space="0" w:color="auto"/>
        <w:right w:val="none" w:sz="0" w:space="0" w:color="auto"/>
      </w:divBdr>
    </w:div>
    <w:div w:id="1775857662">
      <w:bodyDiv w:val="1"/>
      <w:marLeft w:val="0"/>
      <w:marRight w:val="0"/>
      <w:marTop w:val="0"/>
      <w:marBottom w:val="0"/>
      <w:divBdr>
        <w:top w:val="none" w:sz="0" w:space="0" w:color="auto"/>
        <w:left w:val="none" w:sz="0" w:space="0" w:color="auto"/>
        <w:bottom w:val="none" w:sz="0" w:space="0" w:color="auto"/>
        <w:right w:val="none" w:sz="0" w:space="0" w:color="auto"/>
      </w:divBdr>
    </w:div>
    <w:div w:id="1784301203">
      <w:bodyDiv w:val="1"/>
      <w:marLeft w:val="0"/>
      <w:marRight w:val="0"/>
      <w:marTop w:val="0"/>
      <w:marBottom w:val="0"/>
      <w:divBdr>
        <w:top w:val="none" w:sz="0" w:space="0" w:color="auto"/>
        <w:left w:val="none" w:sz="0" w:space="0" w:color="auto"/>
        <w:bottom w:val="none" w:sz="0" w:space="0" w:color="auto"/>
        <w:right w:val="none" w:sz="0" w:space="0" w:color="auto"/>
      </w:divBdr>
    </w:div>
    <w:div w:id="1800957328">
      <w:bodyDiv w:val="1"/>
      <w:marLeft w:val="0"/>
      <w:marRight w:val="0"/>
      <w:marTop w:val="0"/>
      <w:marBottom w:val="0"/>
      <w:divBdr>
        <w:top w:val="none" w:sz="0" w:space="0" w:color="auto"/>
        <w:left w:val="none" w:sz="0" w:space="0" w:color="auto"/>
        <w:bottom w:val="none" w:sz="0" w:space="0" w:color="auto"/>
        <w:right w:val="none" w:sz="0" w:space="0" w:color="auto"/>
      </w:divBdr>
    </w:div>
    <w:div w:id="1803424284">
      <w:bodyDiv w:val="1"/>
      <w:marLeft w:val="0"/>
      <w:marRight w:val="0"/>
      <w:marTop w:val="0"/>
      <w:marBottom w:val="0"/>
      <w:divBdr>
        <w:top w:val="none" w:sz="0" w:space="0" w:color="auto"/>
        <w:left w:val="none" w:sz="0" w:space="0" w:color="auto"/>
        <w:bottom w:val="none" w:sz="0" w:space="0" w:color="auto"/>
        <w:right w:val="none" w:sz="0" w:space="0" w:color="auto"/>
      </w:divBdr>
    </w:div>
    <w:div w:id="1804154739">
      <w:bodyDiv w:val="1"/>
      <w:marLeft w:val="0"/>
      <w:marRight w:val="0"/>
      <w:marTop w:val="0"/>
      <w:marBottom w:val="0"/>
      <w:divBdr>
        <w:top w:val="none" w:sz="0" w:space="0" w:color="auto"/>
        <w:left w:val="none" w:sz="0" w:space="0" w:color="auto"/>
        <w:bottom w:val="none" w:sz="0" w:space="0" w:color="auto"/>
        <w:right w:val="none" w:sz="0" w:space="0" w:color="auto"/>
      </w:divBdr>
    </w:div>
    <w:div w:id="1807116365">
      <w:bodyDiv w:val="1"/>
      <w:marLeft w:val="0"/>
      <w:marRight w:val="0"/>
      <w:marTop w:val="0"/>
      <w:marBottom w:val="0"/>
      <w:divBdr>
        <w:top w:val="none" w:sz="0" w:space="0" w:color="auto"/>
        <w:left w:val="none" w:sz="0" w:space="0" w:color="auto"/>
        <w:bottom w:val="none" w:sz="0" w:space="0" w:color="auto"/>
        <w:right w:val="none" w:sz="0" w:space="0" w:color="auto"/>
      </w:divBdr>
    </w:div>
    <w:div w:id="1810515165">
      <w:bodyDiv w:val="1"/>
      <w:marLeft w:val="0"/>
      <w:marRight w:val="0"/>
      <w:marTop w:val="0"/>
      <w:marBottom w:val="0"/>
      <w:divBdr>
        <w:top w:val="none" w:sz="0" w:space="0" w:color="auto"/>
        <w:left w:val="none" w:sz="0" w:space="0" w:color="auto"/>
        <w:bottom w:val="none" w:sz="0" w:space="0" w:color="auto"/>
        <w:right w:val="none" w:sz="0" w:space="0" w:color="auto"/>
      </w:divBdr>
    </w:div>
    <w:div w:id="1811247352">
      <w:bodyDiv w:val="1"/>
      <w:marLeft w:val="0"/>
      <w:marRight w:val="0"/>
      <w:marTop w:val="0"/>
      <w:marBottom w:val="0"/>
      <w:divBdr>
        <w:top w:val="none" w:sz="0" w:space="0" w:color="auto"/>
        <w:left w:val="none" w:sz="0" w:space="0" w:color="auto"/>
        <w:bottom w:val="none" w:sz="0" w:space="0" w:color="auto"/>
        <w:right w:val="none" w:sz="0" w:space="0" w:color="auto"/>
      </w:divBdr>
      <w:divsChild>
        <w:div w:id="306400494">
          <w:marLeft w:val="0"/>
          <w:marRight w:val="0"/>
          <w:marTop w:val="0"/>
          <w:marBottom w:val="0"/>
          <w:divBdr>
            <w:top w:val="none" w:sz="0" w:space="0" w:color="auto"/>
            <w:left w:val="none" w:sz="0" w:space="0" w:color="auto"/>
            <w:bottom w:val="none" w:sz="0" w:space="0" w:color="auto"/>
            <w:right w:val="none" w:sz="0" w:space="0" w:color="auto"/>
          </w:divBdr>
          <w:divsChild>
            <w:div w:id="1116173597">
              <w:marLeft w:val="0"/>
              <w:marRight w:val="0"/>
              <w:marTop w:val="0"/>
              <w:marBottom w:val="0"/>
              <w:divBdr>
                <w:top w:val="none" w:sz="0" w:space="0" w:color="auto"/>
                <w:left w:val="none" w:sz="0" w:space="0" w:color="auto"/>
                <w:bottom w:val="none" w:sz="0" w:space="0" w:color="auto"/>
                <w:right w:val="none" w:sz="0" w:space="0" w:color="auto"/>
              </w:divBdr>
              <w:divsChild>
                <w:div w:id="1121535743">
                  <w:marLeft w:val="0"/>
                  <w:marRight w:val="0"/>
                  <w:marTop w:val="0"/>
                  <w:marBottom w:val="0"/>
                  <w:divBdr>
                    <w:top w:val="none" w:sz="0" w:space="0" w:color="auto"/>
                    <w:left w:val="none" w:sz="0" w:space="0" w:color="auto"/>
                    <w:bottom w:val="none" w:sz="0" w:space="0" w:color="auto"/>
                    <w:right w:val="none" w:sz="0" w:space="0" w:color="auto"/>
                  </w:divBdr>
                  <w:divsChild>
                    <w:div w:id="448357638">
                      <w:marLeft w:val="0"/>
                      <w:marRight w:val="0"/>
                      <w:marTop w:val="0"/>
                      <w:marBottom w:val="0"/>
                      <w:divBdr>
                        <w:top w:val="none" w:sz="0" w:space="0" w:color="auto"/>
                        <w:left w:val="none" w:sz="0" w:space="0" w:color="auto"/>
                        <w:bottom w:val="none" w:sz="0" w:space="0" w:color="auto"/>
                        <w:right w:val="none" w:sz="0" w:space="0" w:color="auto"/>
                      </w:divBdr>
                      <w:divsChild>
                        <w:div w:id="946277821">
                          <w:marLeft w:val="0"/>
                          <w:marRight w:val="0"/>
                          <w:marTop w:val="0"/>
                          <w:marBottom w:val="0"/>
                          <w:divBdr>
                            <w:top w:val="none" w:sz="0" w:space="0" w:color="auto"/>
                            <w:left w:val="none" w:sz="0" w:space="0" w:color="auto"/>
                            <w:bottom w:val="none" w:sz="0" w:space="0" w:color="auto"/>
                            <w:right w:val="none" w:sz="0" w:space="0" w:color="auto"/>
                          </w:divBdr>
                          <w:divsChild>
                            <w:div w:id="67308880">
                              <w:marLeft w:val="0"/>
                              <w:marRight w:val="0"/>
                              <w:marTop w:val="0"/>
                              <w:marBottom w:val="0"/>
                              <w:divBdr>
                                <w:top w:val="none" w:sz="0" w:space="0" w:color="auto"/>
                                <w:left w:val="none" w:sz="0" w:space="0" w:color="auto"/>
                                <w:bottom w:val="none" w:sz="0" w:space="0" w:color="auto"/>
                                <w:right w:val="none" w:sz="0" w:space="0" w:color="auto"/>
                              </w:divBdr>
                              <w:divsChild>
                                <w:div w:id="997920739">
                                  <w:marLeft w:val="0"/>
                                  <w:marRight w:val="0"/>
                                  <w:marTop w:val="0"/>
                                  <w:marBottom w:val="0"/>
                                  <w:divBdr>
                                    <w:top w:val="none" w:sz="0" w:space="0" w:color="auto"/>
                                    <w:left w:val="none" w:sz="0" w:space="0" w:color="auto"/>
                                    <w:bottom w:val="none" w:sz="0" w:space="0" w:color="auto"/>
                                    <w:right w:val="none" w:sz="0" w:space="0" w:color="auto"/>
                                  </w:divBdr>
                                  <w:divsChild>
                                    <w:div w:id="975910780">
                                      <w:marLeft w:val="0"/>
                                      <w:marRight w:val="0"/>
                                      <w:marTop w:val="0"/>
                                      <w:marBottom w:val="0"/>
                                      <w:divBdr>
                                        <w:top w:val="none" w:sz="0" w:space="0" w:color="auto"/>
                                        <w:left w:val="none" w:sz="0" w:space="0" w:color="auto"/>
                                        <w:bottom w:val="none" w:sz="0" w:space="0" w:color="auto"/>
                                        <w:right w:val="none" w:sz="0" w:space="0" w:color="auto"/>
                                      </w:divBdr>
                                      <w:divsChild>
                                        <w:div w:id="1482502292">
                                          <w:marLeft w:val="0"/>
                                          <w:marRight w:val="0"/>
                                          <w:marTop w:val="0"/>
                                          <w:marBottom w:val="0"/>
                                          <w:divBdr>
                                            <w:top w:val="none" w:sz="0" w:space="0" w:color="auto"/>
                                            <w:left w:val="none" w:sz="0" w:space="0" w:color="auto"/>
                                            <w:bottom w:val="none" w:sz="0" w:space="0" w:color="auto"/>
                                            <w:right w:val="none" w:sz="0" w:space="0" w:color="auto"/>
                                          </w:divBdr>
                                          <w:divsChild>
                                            <w:div w:id="961183348">
                                              <w:marLeft w:val="0"/>
                                              <w:marRight w:val="0"/>
                                              <w:marTop w:val="0"/>
                                              <w:marBottom w:val="0"/>
                                              <w:divBdr>
                                                <w:top w:val="none" w:sz="0" w:space="0" w:color="auto"/>
                                                <w:left w:val="none" w:sz="0" w:space="0" w:color="auto"/>
                                                <w:bottom w:val="none" w:sz="0" w:space="0" w:color="auto"/>
                                                <w:right w:val="none" w:sz="0" w:space="0" w:color="auto"/>
                                              </w:divBdr>
                                              <w:divsChild>
                                                <w:div w:id="1689286843">
                                                  <w:marLeft w:val="0"/>
                                                  <w:marRight w:val="0"/>
                                                  <w:marTop w:val="0"/>
                                                  <w:marBottom w:val="0"/>
                                                  <w:divBdr>
                                                    <w:top w:val="none" w:sz="0" w:space="0" w:color="auto"/>
                                                    <w:left w:val="none" w:sz="0" w:space="0" w:color="auto"/>
                                                    <w:bottom w:val="none" w:sz="0" w:space="0" w:color="auto"/>
                                                    <w:right w:val="none" w:sz="0" w:space="0" w:color="auto"/>
                                                  </w:divBdr>
                                                  <w:divsChild>
                                                    <w:div w:id="1715958247">
                                                      <w:marLeft w:val="0"/>
                                                      <w:marRight w:val="0"/>
                                                      <w:marTop w:val="0"/>
                                                      <w:marBottom w:val="0"/>
                                                      <w:divBdr>
                                                        <w:top w:val="none" w:sz="0" w:space="0" w:color="auto"/>
                                                        <w:left w:val="none" w:sz="0" w:space="0" w:color="auto"/>
                                                        <w:bottom w:val="none" w:sz="0" w:space="0" w:color="auto"/>
                                                        <w:right w:val="none" w:sz="0" w:space="0" w:color="auto"/>
                                                      </w:divBdr>
                                                      <w:divsChild>
                                                        <w:div w:id="2066023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15562751">
      <w:bodyDiv w:val="1"/>
      <w:marLeft w:val="0"/>
      <w:marRight w:val="0"/>
      <w:marTop w:val="0"/>
      <w:marBottom w:val="0"/>
      <w:divBdr>
        <w:top w:val="none" w:sz="0" w:space="0" w:color="auto"/>
        <w:left w:val="none" w:sz="0" w:space="0" w:color="auto"/>
        <w:bottom w:val="none" w:sz="0" w:space="0" w:color="auto"/>
        <w:right w:val="none" w:sz="0" w:space="0" w:color="auto"/>
      </w:divBdr>
    </w:div>
    <w:div w:id="1817603974">
      <w:bodyDiv w:val="1"/>
      <w:marLeft w:val="0"/>
      <w:marRight w:val="0"/>
      <w:marTop w:val="0"/>
      <w:marBottom w:val="0"/>
      <w:divBdr>
        <w:top w:val="none" w:sz="0" w:space="0" w:color="auto"/>
        <w:left w:val="none" w:sz="0" w:space="0" w:color="auto"/>
        <w:bottom w:val="none" w:sz="0" w:space="0" w:color="auto"/>
        <w:right w:val="none" w:sz="0" w:space="0" w:color="auto"/>
      </w:divBdr>
    </w:div>
    <w:div w:id="1822574009">
      <w:bodyDiv w:val="1"/>
      <w:marLeft w:val="0"/>
      <w:marRight w:val="0"/>
      <w:marTop w:val="0"/>
      <w:marBottom w:val="0"/>
      <w:divBdr>
        <w:top w:val="none" w:sz="0" w:space="0" w:color="auto"/>
        <w:left w:val="none" w:sz="0" w:space="0" w:color="auto"/>
        <w:bottom w:val="none" w:sz="0" w:space="0" w:color="auto"/>
        <w:right w:val="none" w:sz="0" w:space="0" w:color="auto"/>
      </w:divBdr>
    </w:div>
    <w:div w:id="1825664579">
      <w:bodyDiv w:val="1"/>
      <w:marLeft w:val="0"/>
      <w:marRight w:val="0"/>
      <w:marTop w:val="0"/>
      <w:marBottom w:val="0"/>
      <w:divBdr>
        <w:top w:val="none" w:sz="0" w:space="0" w:color="auto"/>
        <w:left w:val="none" w:sz="0" w:space="0" w:color="auto"/>
        <w:bottom w:val="none" w:sz="0" w:space="0" w:color="auto"/>
        <w:right w:val="none" w:sz="0" w:space="0" w:color="auto"/>
      </w:divBdr>
    </w:div>
    <w:div w:id="1835602421">
      <w:bodyDiv w:val="1"/>
      <w:marLeft w:val="0"/>
      <w:marRight w:val="0"/>
      <w:marTop w:val="0"/>
      <w:marBottom w:val="0"/>
      <w:divBdr>
        <w:top w:val="none" w:sz="0" w:space="0" w:color="auto"/>
        <w:left w:val="none" w:sz="0" w:space="0" w:color="auto"/>
        <w:bottom w:val="none" w:sz="0" w:space="0" w:color="auto"/>
        <w:right w:val="none" w:sz="0" w:space="0" w:color="auto"/>
      </w:divBdr>
    </w:div>
    <w:div w:id="1838379594">
      <w:bodyDiv w:val="1"/>
      <w:marLeft w:val="0"/>
      <w:marRight w:val="0"/>
      <w:marTop w:val="0"/>
      <w:marBottom w:val="0"/>
      <w:divBdr>
        <w:top w:val="none" w:sz="0" w:space="0" w:color="auto"/>
        <w:left w:val="none" w:sz="0" w:space="0" w:color="auto"/>
        <w:bottom w:val="none" w:sz="0" w:space="0" w:color="auto"/>
        <w:right w:val="none" w:sz="0" w:space="0" w:color="auto"/>
      </w:divBdr>
    </w:div>
    <w:div w:id="1849099465">
      <w:bodyDiv w:val="1"/>
      <w:marLeft w:val="0"/>
      <w:marRight w:val="0"/>
      <w:marTop w:val="0"/>
      <w:marBottom w:val="0"/>
      <w:divBdr>
        <w:top w:val="none" w:sz="0" w:space="0" w:color="auto"/>
        <w:left w:val="none" w:sz="0" w:space="0" w:color="auto"/>
        <w:bottom w:val="none" w:sz="0" w:space="0" w:color="auto"/>
        <w:right w:val="none" w:sz="0" w:space="0" w:color="auto"/>
      </w:divBdr>
    </w:div>
    <w:div w:id="1851985810">
      <w:bodyDiv w:val="1"/>
      <w:marLeft w:val="0"/>
      <w:marRight w:val="0"/>
      <w:marTop w:val="0"/>
      <w:marBottom w:val="0"/>
      <w:divBdr>
        <w:top w:val="none" w:sz="0" w:space="0" w:color="auto"/>
        <w:left w:val="none" w:sz="0" w:space="0" w:color="auto"/>
        <w:bottom w:val="none" w:sz="0" w:space="0" w:color="auto"/>
        <w:right w:val="none" w:sz="0" w:space="0" w:color="auto"/>
      </w:divBdr>
    </w:div>
    <w:div w:id="1852571765">
      <w:bodyDiv w:val="1"/>
      <w:marLeft w:val="0"/>
      <w:marRight w:val="0"/>
      <w:marTop w:val="0"/>
      <w:marBottom w:val="0"/>
      <w:divBdr>
        <w:top w:val="none" w:sz="0" w:space="0" w:color="auto"/>
        <w:left w:val="none" w:sz="0" w:space="0" w:color="auto"/>
        <w:bottom w:val="none" w:sz="0" w:space="0" w:color="auto"/>
        <w:right w:val="none" w:sz="0" w:space="0" w:color="auto"/>
      </w:divBdr>
    </w:div>
    <w:div w:id="1853453391">
      <w:bodyDiv w:val="1"/>
      <w:marLeft w:val="0"/>
      <w:marRight w:val="0"/>
      <w:marTop w:val="0"/>
      <w:marBottom w:val="0"/>
      <w:divBdr>
        <w:top w:val="none" w:sz="0" w:space="0" w:color="auto"/>
        <w:left w:val="none" w:sz="0" w:space="0" w:color="auto"/>
        <w:bottom w:val="none" w:sz="0" w:space="0" w:color="auto"/>
        <w:right w:val="none" w:sz="0" w:space="0" w:color="auto"/>
      </w:divBdr>
    </w:div>
    <w:div w:id="1863784861">
      <w:bodyDiv w:val="1"/>
      <w:marLeft w:val="0"/>
      <w:marRight w:val="0"/>
      <w:marTop w:val="0"/>
      <w:marBottom w:val="0"/>
      <w:divBdr>
        <w:top w:val="none" w:sz="0" w:space="0" w:color="auto"/>
        <w:left w:val="none" w:sz="0" w:space="0" w:color="auto"/>
        <w:bottom w:val="none" w:sz="0" w:space="0" w:color="auto"/>
        <w:right w:val="none" w:sz="0" w:space="0" w:color="auto"/>
      </w:divBdr>
    </w:div>
    <w:div w:id="1873301640">
      <w:bodyDiv w:val="1"/>
      <w:marLeft w:val="0"/>
      <w:marRight w:val="0"/>
      <w:marTop w:val="0"/>
      <w:marBottom w:val="0"/>
      <w:divBdr>
        <w:top w:val="none" w:sz="0" w:space="0" w:color="auto"/>
        <w:left w:val="none" w:sz="0" w:space="0" w:color="auto"/>
        <w:bottom w:val="none" w:sz="0" w:space="0" w:color="auto"/>
        <w:right w:val="none" w:sz="0" w:space="0" w:color="auto"/>
      </w:divBdr>
    </w:div>
    <w:div w:id="1877547601">
      <w:bodyDiv w:val="1"/>
      <w:marLeft w:val="0"/>
      <w:marRight w:val="0"/>
      <w:marTop w:val="0"/>
      <w:marBottom w:val="0"/>
      <w:divBdr>
        <w:top w:val="none" w:sz="0" w:space="0" w:color="auto"/>
        <w:left w:val="none" w:sz="0" w:space="0" w:color="auto"/>
        <w:bottom w:val="none" w:sz="0" w:space="0" w:color="auto"/>
        <w:right w:val="none" w:sz="0" w:space="0" w:color="auto"/>
      </w:divBdr>
    </w:div>
    <w:div w:id="1877616594">
      <w:bodyDiv w:val="1"/>
      <w:marLeft w:val="0"/>
      <w:marRight w:val="0"/>
      <w:marTop w:val="0"/>
      <w:marBottom w:val="0"/>
      <w:divBdr>
        <w:top w:val="none" w:sz="0" w:space="0" w:color="auto"/>
        <w:left w:val="none" w:sz="0" w:space="0" w:color="auto"/>
        <w:bottom w:val="none" w:sz="0" w:space="0" w:color="auto"/>
        <w:right w:val="none" w:sz="0" w:space="0" w:color="auto"/>
      </w:divBdr>
    </w:div>
    <w:div w:id="1878079443">
      <w:bodyDiv w:val="1"/>
      <w:marLeft w:val="0"/>
      <w:marRight w:val="0"/>
      <w:marTop w:val="0"/>
      <w:marBottom w:val="0"/>
      <w:divBdr>
        <w:top w:val="none" w:sz="0" w:space="0" w:color="auto"/>
        <w:left w:val="none" w:sz="0" w:space="0" w:color="auto"/>
        <w:bottom w:val="none" w:sz="0" w:space="0" w:color="auto"/>
        <w:right w:val="none" w:sz="0" w:space="0" w:color="auto"/>
      </w:divBdr>
    </w:div>
    <w:div w:id="1883443653">
      <w:bodyDiv w:val="1"/>
      <w:marLeft w:val="0"/>
      <w:marRight w:val="0"/>
      <w:marTop w:val="0"/>
      <w:marBottom w:val="0"/>
      <w:divBdr>
        <w:top w:val="none" w:sz="0" w:space="0" w:color="auto"/>
        <w:left w:val="none" w:sz="0" w:space="0" w:color="auto"/>
        <w:bottom w:val="none" w:sz="0" w:space="0" w:color="auto"/>
        <w:right w:val="none" w:sz="0" w:space="0" w:color="auto"/>
      </w:divBdr>
    </w:div>
    <w:div w:id="1908764034">
      <w:bodyDiv w:val="1"/>
      <w:marLeft w:val="0"/>
      <w:marRight w:val="0"/>
      <w:marTop w:val="0"/>
      <w:marBottom w:val="0"/>
      <w:divBdr>
        <w:top w:val="none" w:sz="0" w:space="0" w:color="auto"/>
        <w:left w:val="none" w:sz="0" w:space="0" w:color="auto"/>
        <w:bottom w:val="none" w:sz="0" w:space="0" w:color="auto"/>
        <w:right w:val="none" w:sz="0" w:space="0" w:color="auto"/>
      </w:divBdr>
    </w:div>
    <w:div w:id="1916042188">
      <w:bodyDiv w:val="1"/>
      <w:marLeft w:val="0"/>
      <w:marRight w:val="0"/>
      <w:marTop w:val="0"/>
      <w:marBottom w:val="0"/>
      <w:divBdr>
        <w:top w:val="none" w:sz="0" w:space="0" w:color="auto"/>
        <w:left w:val="none" w:sz="0" w:space="0" w:color="auto"/>
        <w:bottom w:val="none" w:sz="0" w:space="0" w:color="auto"/>
        <w:right w:val="none" w:sz="0" w:space="0" w:color="auto"/>
      </w:divBdr>
    </w:div>
    <w:div w:id="1943411718">
      <w:bodyDiv w:val="1"/>
      <w:marLeft w:val="0"/>
      <w:marRight w:val="0"/>
      <w:marTop w:val="0"/>
      <w:marBottom w:val="0"/>
      <w:divBdr>
        <w:top w:val="none" w:sz="0" w:space="0" w:color="auto"/>
        <w:left w:val="none" w:sz="0" w:space="0" w:color="auto"/>
        <w:bottom w:val="none" w:sz="0" w:space="0" w:color="auto"/>
        <w:right w:val="none" w:sz="0" w:space="0" w:color="auto"/>
      </w:divBdr>
    </w:div>
    <w:div w:id="1948922344">
      <w:bodyDiv w:val="1"/>
      <w:marLeft w:val="0"/>
      <w:marRight w:val="0"/>
      <w:marTop w:val="0"/>
      <w:marBottom w:val="0"/>
      <w:divBdr>
        <w:top w:val="none" w:sz="0" w:space="0" w:color="auto"/>
        <w:left w:val="none" w:sz="0" w:space="0" w:color="auto"/>
        <w:bottom w:val="none" w:sz="0" w:space="0" w:color="auto"/>
        <w:right w:val="none" w:sz="0" w:space="0" w:color="auto"/>
      </w:divBdr>
    </w:div>
    <w:div w:id="1954896919">
      <w:bodyDiv w:val="1"/>
      <w:marLeft w:val="0"/>
      <w:marRight w:val="0"/>
      <w:marTop w:val="0"/>
      <w:marBottom w:val="0"/>
      <w:divBdr>
        <w:top w:val="none" w:sz="0" w:space="0" w:color="auto"/>
        <w:left w:val="none" w:sz="0" w:space="0" w:color="auto"/>
        <w:bottom w:val="none" w:sz="0" w:space="0" w:color="auto"/>
        <w:right w:val="none" w:sz="0" w:space="0" w:color="auto"/>
      </w:divBdr>
    </w:div>
    <w:div w:id="1959723656">
      <w:bodyDiv w:val="1"/>
      <w:marLeft w:val="0"/>
      <w:marRight w:val="0"/>
      <w:marTop w:val="0"/>
      <w:marBottom w:val="0"/>
      <w:divBdr>
        <w:top w:val="none" w:sz="0" w:space="0" w:color="auto"/>
        <w:left w:val="none" w:sz="0" w:space="0" w:color="auto"/>
        <w:bottom w:val="none" w:sz="0" w:space="0" w:color="auto"/>
        <w:right w:val="none" w:sz="0" w:space="0" w:color="auto"/>
      </w:divBdr>
    </w:div>
    <w:div w:id="1965773230">
      <w:bodyDiv w:val="1"/>
      <w:marLeft w:val="0"/>
      <w:marRight w:val="0"/>
      <w:marTop w:val="0"/>
      <w:marBottom w:val="0"/>
      <w:divBdr>
        <w:top w:val="none" w:sz="0" w:space="0" w:color="auto"/>
        <w:left w:val="none" w:sz="0" w:space="0" w:color="auto"/>
        <w:bottom w:val="none" w:sz="0" w:space="0" w:color="auto"/>
        <w:right w:val="none" w:sz="0" w:space="0" w:color="auto"/>
      </w:divBdr>
    </w:div>
    <w:div w:id="1966690918">
      <w:bodyDiv w:val="1"/>
      <w:marLeft w:val="0"/>
      <w:marRight w:val="0"/>
      <w:marTop w:val="0"/>
      <w:marBottom w:val="0"/>
      <w:divBdr>
        <w:top w:val="none" w:sz="0" w:space="0" w:color="auto"/>
        <w:left w:val="none" w:sz="0" w:space="0" w:color="auto"/>
        <w:bottom w:val="none" w:sz="0" w:space="0" w:color="auto"/>
        <w:right w:val="none" w:sz="0" w:space="0" w:color="auto"/>
      </w:divBdr>
    </w:div>
    <w:div w:id="2001498881">
      <w:bodyDiv w:val="1"/>
      <w:marLeft w:val="0"/>
      <w:marRight w:val="0"/>
      <w:marTop w:val="0"/>
      <w:marBottom w:val="0"/>
      <w:divBdr>
        <w:top w:val="none" w:sz="0" w:space="0" w:color="auto"/>
        <w:left w:val="none" w:sz="0" w:space="0" w:color="auto"/>
        <w:bottom w:val="none" w:sz="0" w:space="0" w:color="auto"/>
        <w:right w:val="none" w:sz="0" w:space="0" w:color="auto"/>
      </w:divBdr>
    </w:div>
    <w:div w:id="2009168666">
      <w:bodyDiv w:val="1"/>
      <w:marLeft w:val="0"/>
      <w:marRight w:val="0"/>
      <w:marTop w:val="0"/>
      <w:marBottom w:val="0"/>
      <w:divBdr>
        <w:top w:val="none" w:sz="0" w:space="0" w:color="auto"/>
        <w:left w:val="none" w:sz="0" w:space="0" w:color="auto"/>
        <w:bottom w:val="none" w:sz="0" w:space="0" w:color="auto"/>
        <w:right w:val="none" w:sz="0" w:space="0" w:color="auto"/>
      </w:divBdr>
    </w:div>
    <w:div w:id="2011519202">
      <w:bodyDiv w:val="1"/>
      <w:marLeft w:val="0"/>
      <w:marRight w:val="0"/>
      <w:marTop w:val="0"/>
      <w:marBottom w:val="0"/>
      <w:divBdr>
        <w:top w:val="none" w:sz="0" w:space="0" w:color="auto"/>
        <w:left w:val="none" w:sz="0" w:space="0" w:color="auto"/>
        <w:bottom w:val="none" w:sz="0" w:space="0" w:color="auto"/>
        <w:right w:val="none" w:sz="0" w:space="0" w:color="auto"/>
      </w:divBdr>
    </w:div>
    <w:div w:id="2035572648">
      <w:bodyDiv w:val="1"/>
      <w:marLeft w:val="0"/>
      <w:marRight w:val="0"/>
      <w:marTop w:val="0"/>
      <w:marBottom w:val="0"/>
      <w:divBdr>
        <w:top w:val="none" w:sz="0" w:space="0" w:color="auto"/>
        <w:left w:val="none" w:sz="0" w:space="0" w:color="auto"/>
        <w:bottom w:val="none" w:sz="0" w:space="0" w:color="auto"/>
        <w:right w:val="none" w:sz="0" w:space="0" w:color="auto"/>
      </w:divBdr>
    </w:div>
    <w:div w:id="2053382915">
      <w:bodyDiv w:val="1"/>
      <w:marLeft w:val="0"/>
      <w:marRight w:val="0"/>
      <w:marTop w:val="0"/>
      <w:marBottom w:val="0"/>
      <w:divBdr>
        <w:top w:val="none" w:sz="0" w:space="0" w:color="auto"/>
        <w:left w:val="none" w:sz="0" w:space="0" w:color="auto"/>
        <w:bottom w:val="none" w:sz="0" w:space="0" w:color="auto"/>
        <w:right w:val="none" w:sz="0" w:space="0" w:color="auto"/>
      </w:divBdr>
    </w:div>
    <w:div w:id="2054226409">
      <w:bodyDiv w:val="1"/>
      <w:marLeft w:val="0"/>
      <w:marRight w:val="0"/>
      <w:marTop w:val="0"/>
      <w:marBottom w:val="0"/>
      <w:divBdr>
        <w:top w:val="none" w:sz="0" w:space="0" w:color="auto"/>
        <w:left w:val="none" w:sz="0" w:space="0" w:color="auto"/>
        <w:bottom w:val="none" w:sz="0" w:space="0" w:color="auto"/>
        <w:right w:val="none" w:sz="0" w:space="0" w:color="auto"/>
      </w:divBdr>
    </w:div>
    <w:div w:id="2106459947">
      <w:bodyDiv w:val="1"/>
      <w:marLeft w:val="0"/>
      <w:marRight w:val="0"/>
      <w:marTop w:val="0"/>
      <w:marBottom w:val="0"/>
      <w:divBdr>
        <w:top w:val="none" w:sz="0" w:space="0" w:color="auto"/>
        <w:left w:val="none" w:sz="0" w:space="0" w:color="auto"/>
        <w:bottom w:val="none" w:sz="0" w:space="0" w:color="auto"/>
        <w:right w:val="none" w:sz="0" w:space="0" w:color="auto"/>
      </w:divBdr>
    </w:div>
    <w:div w:id="2112819696">
      <w:bodyDiv w:val="1"/>
      <w:marLeft w:val="0"/>
      <w:marRight w:val="0"/>
      <w:marTop w:val="0"/>
      <w:marBottom w:val="0"/>
      <w:divBdr>
        <w:top w:val="none" w:sz="0" w:space="0" w:color="auto"/>
        <w:left w:val="none" w:sz="0" w:space="0" w:color="auto"/>
        <w:bottom w:val="none" w:sz="0" w:space="0" w:color="auto"/>
        <w:right w:val="none" w:sz="0" w:space="0" w:color="auto"/>
      </w:divBdr>
    </w:div>
    <w:div w:id="2118405974">
      <w:bodyDiv w:val="1"/>
      <w:marLeft w:val="0"/>
      <w:marRight w:val="0"/>
      <w:marTop w:val="0"/>
      <w:marBottom w:val="0"/>
      <w:divBdr>
        <w:top w:val="none" w:sz="0" w:space="0" w:color="auto"/>
        <w:left w:val="none" w:sz="0" w:space="0" w:color="auto"/>
        <w:bottom w:val="none" w:sz="0" w:space="0" w:color="auto"/>
        <w:right w:val="none" w:sz="0" w:space="0" w:color="auto"/>
      </w:divBdr>
    </w:div>
    <w:div w:id="2139371674">
      <w:bodyDiv w:val="1"/>
      <w:marLeft w:val="0"/>
      <w:marRight w:val="0"/>
      <w:marTop w:val="0"/>
      <w:marBottom w:val="0"/>
      <w:divBdr>
        <w:top w:val="none" w:sz="0" w:space="0" w:color="auto"/>
        <w:left w:val="none" w:sz="0" w:space="0" w:color="auto"/>
        <w:bottom w:val="none" w:sz="0" w:space="0" w:color="auto"/>
        <w:right w:val="none" w:sz="0" w:space="0" w:color="auto"/>
      </w:divBdr>
    </w:div>
    <w:div w:id="2140800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7.png"/><Relationship Id="rId39" Type="http://schemas.openxmlformats.org/officeDocument/2006/relationships/image" Target="cid:image004.png@01D63FE6.DBFBF980" TargetMode="External"/><Relationship Id="rId3" Type="http://schemas.openxmlformats.org/officeDocument/2006/relationships/styles" Target="styles.xml"/><Relationship Id="rId21" Type="http://schemas.openxmlformats.org/officeDocument/2006/relationships/image" Target="media/image13.png"/><Relationship Id="rId34" Type="http://schemas.openxmlformats.org/officeDocument/2006/relationships/image" Target="media/image24.png"/><Relationship Id="rId42" Type="http://schemas.openxmlformats.org/officeDocument/2006/relationships/chart" Target="charts/chart5.xml"/><Relationship Id="rId47" Type="http://schemas.openxmlformats.org/officeDocument/2006/relationships/header" Target="header1.xml"/><Relationship Id="rId50"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png"/><Relationship Id="rId25" Type="http://schemas.openxmlformats.org/officeDocument/2006/relationships/image" Target="media/image16.png"/><Relationship Id="rId33" Type="http://schemas.openxmlformats.org/officeDocument/2006/relationships/image" Target="media/image23.png"/><Relationship Id="rId38" Type="http://schemas.openxmlformats.org/officeDocument/2006/relationships/image" Target="media/image26.png"/><Relationship Id="rId46" Type="http://schemas.openxmlformats.org/officeDocument/2006/relationships/image" Target="media/image30.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image" Target="media/image20.png"/><Relationship Id="rId41" Type="http://schemas.openxmlformats.org/officeDocument/2006/relationships/image" Target="cid:image005.png@01D63FE6.DBFBF980"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chart" Target="charts/chart1.xml"/><Relationship Id="rId32" Type="http://schemas.openxmlformats.org/officeDocument/2006/relationships/image" Target="media/image22.png"/><Relationship Id="rId37" Type="http://schemas.openxmlformats.org/officeDocument/2006/relationships/chart" Target="charts/chart4.xml"/><Relationship Id="rId40" Type="http://schemas.openxmlformats.org/officeDocument/2006/relationships/image" Target="media/image27.png"/><Relationship Id="rId45" Type="http://schemas.openxmlformats.org/officeDocument/2006/relationships/chart" Target="charts/chart6.xm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image" Target="media/image15.emf"/><Relationship Id="rId28" Type="http://schemas.openxmlformats.org/officeDocument/2006/relationships/image" Target="media/image19.png"/><Relationship Id="rId36" Type="http://schemas.openxmlformats.org/officeDocument/2006/relationships/chart" Target="charts/chart3.xml"/><Relationship Id="rId49"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chart" Target="charts/chart2.xml"/><Relationship Id="rId44" Type="http://schemas.openxmlformats.org/officeDocument/2006/relationships/image" Target="media/image29.png"/><Relationship Id="rId52"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8.png"/><Relationship Id="rId30" Type="http://schemas.openxmlformats.org/officeDocument/2006/relationships/image" Target="media/image21.png"/><Relationship Id="rId35" Type="http://schemas.openxmlformats.org/officeDocument/2006/relationships/image" Target="media/image25.png"/><Relationship Id="rId43" Type="http://schemas.openxmlformats.org/officeDocument/2006/relationships/image" Target="media/image28.png"/><Relationship Id="rId48" Type="http://schemas.openxmlformats.org/officeDocument/2006/relationships/header" Target="header2.xml"/><Relationship Id="rId8" Type="http://schemas.openxmlformats.org/officeDocument/2006/relationships/endnotes" Target="endnotes.xml"/><Relationship Id="rId51" Type="http://schemas.openxmlformats.org/officeDocument/2006/relationships/header" Target="header3.xml"/></Relationships>
</file>

<file path=word/charts/_rels/chart1.xml.rels><?xml version="1.0" encoding="UTF-8" standalone="yes"?>
<Relationships xmlns="http://schemas.openxmlformats.org/package/2006/relationships"><Relationship Id="rId2" Type="http://schemas.openxmlformats.org/officeDocument/2006/relationships/oleObject" Target="file:///\\ccc-svm-02\shared\Senior%20Managers\Performance%20Management\Performance%20Management%20Reports\Board%20Reports\IPR%20Prep\2020%202021\02%20-%20May%202020\IPR%20Docs\May%2020%20IPR%20charts%20-%20draft.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ccc-svm-02\shared\Workforce%20&amp;%20Organisational%20Development\RESOURCING%20&amp;%20INFORMATION\REPORTS\2020%20REPORTS\6.%20JUNE%202020\IPR\June%202020%20IPR%20charts.xlsx"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file:///\\ccc-svm-02\shared\Workforce%20&amp;%20Organisational%20Development\RESOURCING%20&amp;%20INFORMATION\REPORTS\2020%20REPORTS\6.%20JUNE%202020\IPR\June%202020%20IPR%20charts.xlsx"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oleObject" Target="file:///\\ccc-svm-02\shared\Workforce%20&amp;%20Organisational%20Development\RESOURCING%20&amp;%20INFORMATION\REPORTS\2020%20REPORTS\6.%20JUNE%202020\IPR\June%202020%20IPR%20charts.xlsx" TargetMode="External"/><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oleObject" Target="file:///\\ccc-svm-02\shared\Workforce%20&amp;%20Organisational%20Development\RESOURCING%20&amp;%20INFORMATION\REPORTS\2020%20REPORTS\6.%20JUNE%202020\IPR\June%202020%20IPR%20charts.xlsx" TargetMode="External"/><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oleObject" Target="file:///\\ccc-svm-02\shared\Workforce%20&amp;%20Organisational%20Development\RESOURCING%20&amp;%20INFORMATION\REPORTS\2020%20REPORTS\6.%20JUNE%202020\IPR\June%202020%20IPR%20charts.xlsx" TargetMode="External"/><Relationship Id="rId1" Type="http://schemas.openxmlformats.org/officeDocument/2006/relationships/themeOverride" Target="../theme/themeOverride6.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1547570294471966"/>
          <c:y val="4.104955928693655E-2"/>
          <c:w val="0.85702470948193499"/>
          <c:h val="0.5732914437448241"/>
        </c:manualLayout>
      </c:layout>
      <c:lineChart>
        <c:grouping val="standard"/>
        <c:varyColors val="0"/>
        <c:ser>
          <c:idx val="1"/>
          <c:order val="0"/>
          <c:tx>
            <c:strRef>
              <c:f>'62 day overview '!$A$3</c:f>
              <c:strCache>
                <c:ptCount val="1"/>
                <c:pt idx="0">
                  <c:v>% of patients who have their first appointment within 7 days (62 Day classic pts only)</c:v>
                </c:pt>
              </c:strCache>
            </c:strRef>
          </c:tx>
          <c:spPr>
            <a:ln>
              <a:solidFill>
                <a:srgbClr val="00B050"/>
              </a:solidFill>
            </a:ln>
          </c:spPr>
          <c:marker>
            <c:symbol val="none"/>
          </c:marker>
          <c:cat>
            <c:numRef>
              <c:f>'62 day overview '!$O$2:$AA$2</c:f>
              <c:numCache>
                <c:formatCode>mmm\-yy</c:formatCode>
                <c:ptCount val="13"/>
                <c:pt idx="0">
                  <c:v>43586</c:v>
                </c:pt>
                <c:pt idx="1">
                  <c:v>43617</c:v>
                </c:pt>
                <c:pt idx="2">
                  <c:v>43647</c:v>
                </c:pt>
                <c:pt idx="3">
                  <c:v>43678</c:v>
                </c:pt>
                <c:pt idx="4">
                  <c:v>43709</c:v>
                </c:pt>
                <c:pt idx="5">
                  <c:v>43739</c:v>
                </c:pt>
                <c:pt idx="6">
                  <c:v>43770</c:v>
                </c:pt>
                <c:pt idx="7">
                  <c:v>43800</c:v>
                </c:pt>
                <c:pt idx="8">
                  <c:v>43831</c:v>
                </c:pt>
                <c:pt idx="9">
                  <c:v>43862</c:v>
                </c:pt>
                <c:pt idx="10">
                  <c:v>43891</c:v>
                </c:pt>
                <c:pt idx="11">
                  <c:v>43922</c:v>
                </c:pt>
                <c:pt idx="12">
                  <c:v>43952</c:v>
                </c:pt>
              </c:numCache>
            </c:numRef>
          </c:cat>
          <c:val>
            <c:numRef>
              <c:f>'62 day overview '!$O$3:$AA$3</c:f>
              <c:numCache>
                <c:formatCode>0.0%</c:formatCode>
                <c:ptCount val="13"/>
                <c:pt idx="0">
                  <c:v>0.81</c:v>
                </c:pt>
                <c:pt idx="1">
                  <c:v>0.79</c:v>
                </c:pt>
                <c:pt idx="2">
                  <c:v>0.871</c:v>
                </c:pt>
                <c:pt idx="3">
                  <c:v>0.80500000000000005</c:v>
                </c:pt>
                <c:pt idx="4">
                  <c:v>0.87400000000000011</c:v>
                </c:pt>
                <c:pt idx="5">
                  <c:v>0.84900000000000009</c:v>
                </c:pt>
                <c:pt idx="6">
                  <c:v>0.79599999999999993</c:v>
                </c:pt>
                <c:pt idx="7">
                  <c:v>0.79099999999999993</c:v>
                </c:pt>
                <c:pt idx="8">
                  <c:v>0.78099999999999992</c:v>
                </c:pt>
                <c:pt idx="9">
                  <c:v>0.89900000000000002</c:v>
                </c:pt>
                <c:pt idx="10">
                  <c:v>0.80599999999999994</c:v>
                </c:pt>
                <c:pt idx="11">
                  <c:v>0.69599999999999995</c:v>
                </c:pt>
                <c:pt idx="12" formatCode="0%">
                  <c:v>1</c:v>
                </c:pt>
              </c:numCache>
            </c:numRef>
          </c:val>
          <c:smooth val="0"/>
        </c:ser>
        <c:ser>
          <c:idx val="5"/>
          <c:order val="1"/>
          <c:tx>
            <c:strRef>
              <c:f>'62 day overview '!$A$11</c:f>
              <c:strCache>
                <c:ptCount val="1"/>
                <c:pt idx="0">
                  <c:v>7 Day target</c:v>
                </c:pt>
              </c:strCache>
            </c:strRef>
          </c:tx>
          <c:spPr>
            <a:ln w="38100">
              <a:solidFill>
                <a:srgbClr val="00B050"/>
              </a:solidFill>
              <a:prstDash val="sysDash"/>
            </a:ln>
          </c:spPr>
          <c:marker>
            <c:symbol val="none"/>
          </c:marker>
          <c:cat>
            <c:numRef>
              <c:f>'62 day overview '!$O$2:$AA$2</c:f>
              <c:numCache>
                <c:formatCode>mmm\-yy</c:formatCode>
                <c:ptCount val="13"/>
                <c:pt idx="0">
                  <c:v>43586</c:v>
                </c:pt>
                <c:pt idx="1">
                  <c:v>43617</c:v>
                </c:pt>
                <c:pt idx="2">
                  <c:v>43647</c:v>
                </c:pt>
                <c:pt idx="3">
                  <c:v>43678</c:v>
                </c:pt>
                <c:pt idx="4">
                  <c:v>43709</c:v>
                </c:pt>
                <c:pt idx="5">
                  <c:v>43739</c:v>
                </c:pt>
                <c:pt idx="6">
                  <c:v>43770</c:v>
                </c:pt>
                <c:pt idx="7">
                  <c:v>43800</c:v>
                </c:pt>
                <c:pt idx="8">
                  <c:v>43831</c:v>
                </c:pt>
                <c:pt idx="9">
                  <c:v>43862</c:v>
                </c:pt>
                <c:pt idx="10">
                  <c:v>43891</c:v>
                </c:pt>
                <c:pt idx="11">
                  <c:v>43922</c:v>
                </c:pt>
                <c:pt idx="12">
                  <c:v>43952</c:v>
                </c:pt>
              </c:numCache>
            </c:numRef>
          </c:cat>
          <c:val>
            <c:numRef>
              <c:f>'62 day overview '!$O$11:$AA$11</c:f>
              <c:numCache>
                <c:formatCode>0.0%</c:formatCode>
                <c:ptCount val="13"/>
                <c:pt idx="0">
                  <c:v>0.9</c:v>
                </c:pt>
                <c:pt idx="1">
                  <c:v>0.9</c:v>
                </c:pt>
                <c:pt idx="2">
                  <c:v>0.9</c:v>
                </c:pt>
                <c:pt idx="3">
                  <c:v>0.9</c:v>
                </c:pt>
                <c:pt idx="4">
                  <c:v>0.9</c:v>
                </c:pt>
                <c:pt idx="5">
                  <c:v>0.9</c:v>
                </c:pt>
                <c:pt idx="6">
                  <c:v>0.9</c:v>
                </c:pt>
                <c:pt idx="7">
                  <c:v>0.9</c:v>
                </c:pt>
                <c:pt idx="8">
                  <c:v>0.9</c:v>
                </c:pt>
                <c:pt idx="9">
                  <c:v>0.9</c:v>
                </c:pt>
                <c:pt idx="10">
                  <c:v>0.9</c:v>
                </c:pt>
                <c:pt idx="11">
                  <c:v>0.9</c:v>
                </c:pt>
                <c:pt idx="12">
                  <c:v>0.9</c:v>
                </c:pt>
              </c:numCache>
            </c:numRef>
          </c:val>
          <c:smooth val="0"/>
        </c:ser>
        <c:ser>
          <c:idx val="2"/>
          <c:order val="2"/>
          <c:tx>
            <c:strRef>
              <c:f>'62 day overview '!$A$4</c:f>
              <c:strCache>
                <c:ptCount val="1"/>
                <c:pt idx="0">
                  <c:v>% of patients who were treated within 24 days by CCC (62 Day classic pts only)</c:v>
                </c:pt>
              </c:strCache>
            </c:strRef>
          </c:tx>
          <c:spPr>
            <a:ln>
              <a:solidFill>
                <a:srgbClr val="FF99CC"/>
              </a:solidFill>
            </a:ln>
          </c:spPr>
          <c:marker>
            <c:symbol val="none"/>
          </c:marker>
          <c:cat>
            <c:numRef>
              <c:f>'62 day overview '!$O$2:$AA$2</c:f>
              <c:numCache>
                <c:formatCode>mmm\-yy</c:formatCode>
                <c:ptCount val="13"/>
                <c:pt idx="0">
                  <c:v>43586</c:v>
                </c:pt>
                <c:pt idx="1">
                  <c:v>43617</c:v>
                </c:pt>
                <c:pt idx="2">
                  <c:v>43647</c:v>
                </c:pt>
                <c:pt idx="3">
                  <c:v>43678</c:v>
                </c:pt>
                <c:pt idx="4">
                  <c:v>43709</c:v>
                </c:pt>
                <c:pt idx="5">
                  <c:v>43739</c:v>
                </c:pt>
                <c:pt idx="6">
                  <c:v>43770</c:v>
                </c:pt>
                <c:pt idx="7">
                  <c:v>43800</c:v>
                </c:pt>
                <c:pt idx="8">
                  <c:v>43831</c:v>
                </c:pt>
                <c:pt idx="9">
                  <c:v>43862</c:v>
                </c:pt>
                <c:pt idx="10">
                  <c:v>43891</c:v>
                </c:pt>
                <c:pt idx="11">
                  <c:v>43922</c:v>
                </c:pt>
                <c:pt idx="12">
                  <c:v>43952</c:v>
                </c:pt>
              </c:numCache>
            </c:numRef>
          </c:cat>
          <c:val>
            <c:numRef>
              <c:f>'62 day overview '!$O$4:$AA$4</c:f>
              <c:numCache>
                <c:formatCode>0.0%</c:formatCode>
                <c:ptCount val="13"/>
                <c:pt idx="0">
                  <c:v>0.85699999999999998</c:v>
                </c:pt>
                <c:pt idx="1">
                  <c:v>0.8640000000000001</c:v>
                </c:pt>
                <c:pt idx="2">
                  <c:v>0.91</c:v>
                </c:pt>
                <c:pt idx="3">
                  <c:v>0.752</c:v>
                </c:pt>
                <c:pt idx="4">
                  <c:v>0.88200000000000001</c:v>
                </c:pt>
                <c:pt idx="5">
                  <c:v>0.83299999999999996</c:v>
                </c:pt>
                <c:pt idx="6">
                  <c:v>0.91</c:v>
                </c:pt>
                <c:pt idx="7">
                  <c:v>0.85</c:v>
                </c:pt>
                <c:pt idx="8">
                  <c:v>0.755</c:v>
                </c:pt>
                <c:pt idx="9">
                  <c:v>0.89700000000000002</c:v>
                </c:pt>
                <c:pt idx="10">
                  <c:v>0.83099999999999996</c:v>
                </c:pt>
                <c:pt idx="11">
                  <c:v>0.70200000000000007</c:v>
                </c:pt>
                <c:pt idx="12" formatCode="0.00%">
                  <c:v>0.80800000000000005</c:v>
                </c:pt>
              </c:numCache>
            </c:numRef>
          </c:val>
          <c:smooth val="0"/>
        </c:ser>
        <c:ser>
          <c:idx val="4"/>
          <c:order val="3"/>
          <c:tx>
            <c:strRef>
              <c:f>'62 day overview '!$A$10</c:f>
              <c:strCache>
                <c:ptCount val="1"/>
                <c:pt idx="0">
                  <c:v>62 Day / 24 day target</c:v>
                </c:pt>
              </c:strCache>
            </c:strRef>
          </c:tx>
          <c:spPr>
            <a:ln>
              <a:solidFill>
                <a:srgbClr val="FF99CC"/>
              </a:solidFill>
              <a:prstDash val="sysDash"/>
            </a:ln>
          </c:spPr>
          <c:marker>
            <c:symbol val="none"/>
          </c:marker>
          <c:cat>
            <c:numRef>
              <c:f>'62 day overview '!$O$2:$AA$2</c:f>
              <c:numCache>
                <c:formatCode>mmm\-yy</c:formatCode>
                <c:ptCount val="13"/>
                <c:pt idx="0">
                  <c:v>43586</c:v>
                </c:pt>
                <c:pt idx="1">
                  <c:v>43617</c:v>
                </c:pt>
                <c:pt idx="2">
                  <c:v>43647</c:v>
                </c:pt>
                <c:pt idx="3">
                  <c:v>43678</c:v>
                </c:pt>
                <c:pt idx="4">
                  <c:v>43709</c:v>
                </c:pt>
                <c:pt idx="5">
                  <c:v>43739</c:v>
                </c:pt>
                <c:pt idx="6">
                  <c:v>43770</c:v>
                </c:pt>
                <c:pt idx="7">
                  <c:v>43800</c:v>
                </c:pt>
                <c:pt idx="8">
                  <c:v>43831</c:v>
                </c:pt>
                <c:pt idx="9">
                  <c:v>43862</c:v>
                </c:pt>
                <c:pt idx="10">
                  <c:v>43891</c:v>
                </c:pt>
                <c:pt idx="11">
                  <c:v>43922</c:v>
                </c:pt>
                <c:pt idx="12">
                  <c:v>43952</c:v>
                </c:pt>
              </c:numCache>
            </c:numRef>
          </c:cat>
          <c:val>
            <c:numRef>
              <c:f>'62 day overview '!$O$10:$AA$10</c:f>
              <c:numCache>
                <c:formatCode>0.0%</c:formatCode>
                <c:ptCount val="13"/>
                <c:pt idx="0">
                  <c:v>0.85</c:v>
                </c:pt>
                <c:pt idx="1">
                  <c:v>0.85</c:v>
                </c:pt>
                <c:pt idx="2">
                  <c:v>0.85</c:v>
                </c:pt>
                <c:pt idx="3">
                  <c:v>0.85</c:v>
                </c:pt>
                <c:pt idx="4">
                  <c:v>0.85</c:v>
                </c:pt>
                <c:pt idx="5">
                  <c:v>0.85</c:v>
                </c:pt>
                <c:pt idx="6">
                  <c:v>0.85</c:v>
                </c:pt>
                <c:pt idx="7">
                  <c:v>0.85</c:v>
                </c:pt>
                <c:pt idx="8">
                  <c:v>0.85</c:v>
                </c:pt>
                <c:pt idx="9">
                  <c:v>0.85</c:v>
                </c:pt>
                <c:pt idx="10">
                  <c:v>0.85</c:v>
                </c:pt>
                <c:pt idx="11">
                  <c:v>0.85</c:v>
                </c:pt>
                <c:pt idx="12">
                  <c:v>0.85</c:v>
                </c:pt>
              </c:numCache>
            </c:numRef>
          </c:val>
          <c:smooth val="0"/>
        </c:ser>
        <c:dLbls>
          <c:showLegendKey val="0"/>
          <c:showVal val="0"/>
          <c:showCatName val="0"/>
          <c:showSerName val="0"/>
          <c:showPercent val="0"/>
          <c:showBubbleSize val="0"/>
        </c:dLbls>
        <c:marker val="1"/>
        <c:smooth val="0"/>
        <c:axId val="151205760"/>
        <c:axId val="151207296"/>
      </c:lineChart>
      <c:dateAx>
        <c:axId val="151205760"/>
        <c:scaling>
          <c:orientation val="minMax"/>
        </c:scaling>
        <c:delete val="0"/>
        <c:axPos val="b"/>
        <c:majorGridlines/>
        <c:numFmt formatCode="mmm\-yy" sourceLinked="1"/>
        <c:majorTickMark val="out"/>
        <c:minorTickMark val="none"/>
        <c:tickLblPos val="nextTo"/>
        <c:txPr>
          <a:bodyPr/>
          <a:lstStyle/>
          <a:p>
            <a:pPr>
              <a:defRPr sz="800"/>
            </a:pPr>
            <a:endParaRPr lang="en-US"/>
          </a:p>
        </c:txPr>
        <c:crossAx val="151207296"/>
        <c:crosses val="autoZero"/>
        <c:auto val="1"/>
        <c:lblOffset val="100"/>
        <c:baseTimeUnit val="months"/>
      </c:dateAx>
      <c:valAx>
        <c:axId val="151207296"/>
        <c:scaling>
          <c:orientation val="minMax"/>
          <c:max val="1"/>
          <c:min val="0.60000000000000009"/>
        </c:scaling>
        <c:delete val="0"/>
        <c:axPos val="l"/>
        <c:numFmt formatCode="0%" sourceLinked="0"/>
        <c:majorTickMark val="out"/>
        <c:minorTickMark val="none"/>
        <c:tickLblPos val="nextTo"/>
        <c:txPr>
          <a:bodyPr/>
          <a:lstStyle/>
          <a:p>
            <a:pPr>
              <a:defRPr sz="1100"/>
            </a:pPr>
            <a:endParaRPr lang="en-US"/>
          </a:p>
        </c:txPr>
        <c:crossAx val="151205760"/>
        <c:crossesAt val="43405"/>
        <c:crossBetween val="between"/>
      </c:valAx>
      <c:spPr>
        <a:noFill/>
        <a:ln w="25400">
          <a:noFill/>
        </a:ln>
      </c:spPr>
    </c:plotArea>
    <c:legend>
      <c:legendPos val="b"/>
      <c:layout>
        <c:manualLayout>
          <c:xMode val="edge"/>
          <c:yMode val="edge"/>
          <c:x val="1.7449249507874017E-2"/>
          <c:y val="0.74154548897186501"/>
          <c:w val="0.95623278761709041"/>
          <c:h val="0.19239066169360408"/>
        </c:manualLayout>
      </c:layout>
      <c:overlay val="0"/>
      <c:spPr>
        <a:ln>
          <a:solidFill>
            <a:schemeClr val="bg1">
              <a:lumMod val="50000"/>
            </a:schemeClr>
          </a:solidFill>
        </a:ln>
      </c:spPr>
      <c:txPr>
        <a:bodyPr/>
        <a:lstStyle/>
        <a:p>
          <a:pPr>
            <a:defRPr sz="1100"/>
          </a:pPr>
          <a:endParaRPr lang="en-US"/>
        </a:p>
      </c:txPr>
    </c:legend>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lineChart>
        <c:grouping val="standard"/>
        <c:varyColors val="0"/>
        <c:ser>
          <c:idx val="1"/>
          <c:order val="0"/>
          <c:tx>
            <c:strRef>
              <c:f>'GRAPHS FOR REPORT'!$D$60</c:f>
              <c:strCache>
                <c:ptCount val="1"/>
                <c:pt idx="0">
                  <c:v>2018/19</c:v>
                </c:pt>
              </c:strCache>
            </c:strRef>
          </c:tx>
          <c:marker>
            <c:symbol val="none"/>
          </c:marker>
          <c:cat>
            <c:strRef>
              <c:f>'GRAPHS FOR REPORT'!$A$61:$A$72</c:f>
              <c:strCache>
                <c:ptCount val="12"/>
                <c:pt idx="0">
                  <c:v>April</c:v>
                </c:pt>
                <c:pt idx="1">
                  <c:v>May</c:v>
                </c:pt>
                <c:pt idx="2">
                  <c:v>June</c:v>
                </c:pt>
                <c:pt idx="3">
                  <c:v>July</c:v>
                </c:pt>
                <c:pt idx="4">
                  <c:v>August</c:v>
                </c:pt>
                <c:pt idx="5">
                  <c:v>September</c:v>
                </c:pt>
                <c:pt idx="6">
                  <c:v>October</c:v>
                </c:pt>
                <c:pt idx="7">
                  <c:v>November</c:v>
                </c:pt>
                <c:pt idx="8">
                  <c:v>December</c:v>
                </c:pt>
                <c:pt idx="9">
                  <c:v>January</c:v>
                </c:pt>
                <c:pt idx="10">
                  <c:v>February</c:v>
                </c:pt>
                <c:pt idx="11">
                  <c:v>March</c:v>
                </c:pt>
              </c:strCache>
            </c:strRef>
          </c:cat>
          <c:val>
            <c:numRef>
              <c:f>'GRAPHS FOR REPORT'!$D$61:$D$72</c:f>
              <c:numCache>
                <c:formatCode>0.00%</c:formatCode>
                <c:ptCount val="12"/>
                <c:pt idx="0">
                  <c:v>4.41E-2</c:v>
                </c:pt>
                <c:pt idx="1">
                  <c:v>4.36E-2</c:v>
                </c:pt>
                <c:pt idx="2">
                  <c:v>4.2500000000000003E-2</c:v>
                </c:pt>
                <c:pt idx="3">
                  <c:v>4.24E-2</c:v>
                </c:pt>
                <c:pt idx="4">
                  <c:v>4.2000000000000003E-2</c:v>
                </c:pt>
                <c:pt idx="5">
                  <c:v>4.1799999999999997E-2</c:v>
                </c:pt>
                <c:pt idx="6">
                  <c:v>4.24E-2</c:v>
                </c:pt>
                <c:pt idx="7">
                  <c:v>4.2999999999999997E-2</c:v>
                </c:pt>
                <c:pt idx="8">
                  <c:v>4.2700000000000002E-2</c:v>
                </c:pt>
                <c:pt idx="9">
                  <c:v>4.2099999999999999E-2</c:v>
                </c:pt>
                <c:pt idx="10">
                  <c:v>4.1399999999999999E-2</c:v>
                </c:pt>
                <c:pt idx="11">
                  <c:v>4.1500000000000002E-2</c:v>
                </c:pt>
              </c:numCache>
            </c:numRef>
          </c:val>
          <c:smooth val="0"/>
        </c:ser>
        <c:ser>
          <c:idx val="0"/>
          <c:order val="1"/>
          <c:tx>
            <c:strRef>
              <c:f>'GRAPHS FOR REPORT'!$E$60</c:f>
              <c:strCache>
                <c:ptCount val="1"/>
                <c:pt idx="0">
                  <c:v>2019/20</c:v>
                </c:pt>
              </c:strCache>
            </c:strRef>
          </c:tx>
          <c:marker>
            <c:symbol val="none"/>
          </c:marker>
          <c:cat>
            <c:strRef>
              <c:f>'GRAPHS FOR REPORT'!$A$61:$A$72</c:f>
              <c:strCache>
                <c:ptCount val="12"/>
                <c:pt idx="0">
                  <c:v>April</c:v>
                </c:pt>
                <c:pt idx="1">
                  <c:v>May</c:v>
                </c:pt>
                <c:pt idx="2">
                  <c:v>June</c:v>
                </c:pt>
                <c:pt idx="3">
                  <c:v>July</c:v>
                </c:pt>
                <c:pt idx="4">
                  <c:v>August</c:v>
                </c:pt>
                <c:pt idx="5">
                  <c:v>September</c:v>
                </c:pt>
                <c:pt idx="6">
                  <c:v>October</c:v>
                </c:pt>
                <c:pt idx="7">
                  <c:v>November</c:v>
                </c:pt>
                <c:pt idx="8">
                  <c:v>December</c:v>
                </c:pt>
                <c:pt idx="9">
                  <c:v>January</c:v>
                </c:pt>
                <c:pt idx="10">
                  <c:v>February</c:v>
                </c:pt>
                <c:pt idx="11">
                  <c:v>March</c:v>
                </c:pt>
              </c:strCache>
            </c:strRef>
          </c:cat>
          <c:val>
            <c:numRef>
              <c:f>'GRAPHS FOR REPORT'!$E$61:$E$72</c:f>
              <c:numCache>
                <c:formatCode>0.00%</c:formatCode>
                <c:ptCount val="12"/>
                <c:pt idx="0">
                  <c:v>4.1799999999999997E-2</c:v>
                </c:pt>
                <c:pt idx="1">
                  <c:v>4.2200000000000001E-2</c:v>
                </c:pt>
                <c:pt idx="2">
                  <c:v>4.2099999999999999E-2</c:v>
                </c:pt>
                <c:pt idx="3">
                  <c:v>4.2099999999999999E-2</c:v>
                </c:pt>
                <c:pt idx="4">
                  <c:v>4.19E-2</c:v>
                </c:pt>
                <c:pt idx="5">
                  <c:v>4.1799999999999997E-2</c:v>
                </c:pt>
                <c:pt idx="6">
                  <c:v>4.1000000000000002E-2</c:v>
                </c:pt>
                <c:pt idx="7">
                  <c:v>4.2500000000000003E-2</c:v>
                </c:pt>
                <c:pt idx="8">
                  <c:v>4.2999999999999997E-2</c:v>
                </c:pt>
                <c:pt idx="9">
                  <c:v>4.2599999999999999E-2</c:v>
                </c:pt>
                <c:pt idx="10">
                  <c:v>4.3099999999999999E-2</c:v>
                </c:pt>
                <c:pt idx="11">
                  <c:v>4.4200000000000003E-2</c:v>
                </c:pt>
              </c:numCache>
            </c:numRef>
          </c:val>
          <c:smooth val="0"/>
        </c:ser>
        <c:ser>
          <c:idx val="2"/>
          <c:order val="2"/>
          <c:tx>
            <c:strRef>
              <c:f>'GRAPHS FOR REPORT'!$F$60</c:f>
              <c:strCache>
                <c:ptCount val="1"/>
                <c:pt idx="0">
                  <c:v>2020/21</c:v>
                </c:pt>
              </c:strCache>
            </c:strRef>
          </c:tx>
          <c:marker>
            <c:symbol val="none"/>
          </c:marker>
          <c:cat>
            <c:strRef>
              <c:f>'GRAPHS FOR REPORT'!$A$61:$A$72</c:f>
              <c:strCache>
                <c:ptCount val="12"/>
                <c:pt idx="0">
                  <c:v>April</c:v>
                </c:pt>
                <c:pt idx="1">
                  <c:v>May</c:v>
                </c:pt>
                <c:pt idx="2">
                  <c:v>June</c:v>
                </c:pt>
                <c:pt idx="3">
                  <c:v>July</c:v>
                </c:pt>
                <c:pt idx="4">
                  <c:v>August</c:v>
                </c:pt>
                <c:pt idx="5">
                  <c:v>September</c:v>
                </c:pt>
                <c:pt idx="6">
                  <c:v>October</c:v>
                </c:pt>
                <c:pt idx="7">
                  <c:v>November</c:v>
                </c:pt>
                <c:pt idx="8">
                  <c:v>December</c:v>
                </c:pt>
                <c:pt idx="9">
                  <c:v>January</c:v>
                </c:pt>
                <c:pt idx="10">
                  <c:v>February</c:v>
                </c:pt>
                <c:pt idx="11">
                  <c:v>March</c:v>
                </c:pt>
              </c:strCache>
            </c:strRef>
          </c:cat>
          <c:val>
            <c:numRef>
              <c:f>'GRAPHS FOR REPORT'!$F$61:$F$72</c:f>
              <c:numCache>
                <c:formatCode>0.00%</c:formatCode>
                <c:ptCount val="12"/>
                <c:pt idx="0">
                  <c:v>4.4900000000000002E-2</c:v>
                </c:pt>
                <c:pt idx="1">
                  <c:v>4.5499999999999999E-2</c:v>
                </c:pt>
              </c:numCache>
            </c:numRef>
          </c:val>
          <c:smooth val="0"/>
        </c:ser>
        <c:ser>
          <c:idx val="3"/>
          <c:order val="3"/>
          <c:tx>
            <c:strRef>
              <c:f>'GRAPHS FOR REPORT'!$G$60</c:f>
              <c:strCache>
                <c:ptCount val="1"/>
                <c:pt idx="0">
                  <c:v>Target</c:v>
                </c:pt>
              </c:strCache>
            </c:strRef>
          </c:tx>
          <c:spPr>
            <a:ln w="19050">
              <a:solidFill>
                <a:schemeClr val="tx1"/>
              </a:solidFill>
              <a:prstDash val="sysDash"/>
            </a:ln>
          </c:spPr>
          <c:marker>
            <c:symbol val="none"/>
          </c:marker>
          <c:cat>
            <c:strRef>
              <c:f>'GRAPHS FOR REPORT'!$A$61:$A$72</c:f>
              <c:strCache>
                <c:ptCount val="12"/>
                <c:pt idx="0">
                  <c:v>April</c:v>
                </c:pt>
                <c:pt idx="1">
                  <c:v>May</c:v>
                </c:pt>
                <c:pt idx="2">
                  <c:v>June</c:v>
                </c:pt>
                <c:pt idx="3">
                  <c:v>July</c:v>
                </c:pt>
                <c:pt idx="4">
                  <c:v>August</c:v>
                </c:pt>
                <c:pt idx="5">
                  <c:v>September</c:v>
                </c:pt>
                <c:pt idx="6">
                  <c:v>October</c:v>
                </c:pt>
                <c:pt idx="7">
                  <c:v>November</c:v>
                </c:pt>
                <c:pt idx="8">
                  <c:v>December</c:v>
                </c:pt>
                <c:pt idx="9">
                  <c:v>January</c:v>
                </c:pt>
                <c:pt idx="10">
                  <c:v>February</c:v>
                </c:pt>
                <c:pt idx="11">
                  <c:v>March</c:v>
                </c:pt>
              </c:strCache>
            </c:strRef>
          </c:cat>
          <c:val>
            <c:numRef>
              <c:f>'GRAPHS FOR REPORT'!$G$61:$G$72</c:f>
              <c:numCache>
                <c:formatCode>0.0%</c:formatCode>
                <c:ptCount val="12"/>
                <c:pt idx="0">
                  <c:v>0.04</c:v>
                </c:pt>
                <c:pt idx="1">
                  <c:v>0.04</c:v>
                </c:pt>
                <c:pt idx="2">
                  <c:v>0.04</c:v>
                </c:pt>
                <c:pt idx="3">
                  <c:v>0.04</c:v>
                </c:pt>
                <c:pt idx="4">
                  <c:v>0.04</c:v>
                </c:pt>
                <c:pt idx="5">
                  <c:v>0.04</c:v>
                </c:pt>
                <c:pt idx="6">
                  <c:v>0.04</c:v>
                </c:pt>
                <c:pt idx="7">
                  <c:v>0.04</c:v>
                </c:pt>
                <c:pt idx="8">
                  <c:v>0.04</c:v>
                </c:pt>
                <c:pt idx="9">
                  <c:v>0.04</c:v>
                </c:pt>
                <c:pt idx="10">
                  <c:v>0.04</c:v>
                </c:pt>
                <c:pt idx="11">
                  <c:v>0.04</c:v>
                </c:pt>
              </c:numCache>
            </c:numRef>
          </c:val>
          <c:smooth val="0"/>
        </c:ser>
        <c:dLbls>
          <c:showLegendKey val="0"/>
          <c:showVal val="0"/>
          <c:showCatName val="0"/>
          <c:showSerName val="0"/>
          <c:showPercent val="0"/>
          <c:showBubbleSize val="0"/>
        </c:dLbls>
        <c:marker val="1"/>
        <c:smooth val="0"/>
        <c:axId val="195889408"/>
        <c:axId val="195903488"/>
      </c:lineChart>
      <c:catAx>
        <c:axId val="195889408"/>
        <c:scaling>
          <c:orientation val="minMax"/>
        </c:scaling>
        <c:delete val="0"/>
        <c:axPos val="b"/>
        <c:majorTickMark val="out"/>
        <c:minorTickMark val="none"/>
        <c:tickLblPos val="nextTo"/>
        <c:txPr>
          <a:bodyPr/>
          <a:lstStyle/>
          <a:p>
            <a:pPr>
              <a:defRPr sz="900"/>
            </a:pPr>
            <a:endParaRPr lang="en-US"/>
          </a:p>
        </c:txPr>
        <c:crossAx val="195903488"/>
        <c:crosses val="autoZero"/>
        <c:auto val="1"/>
        <c:lblAlgn val="ctr"/>
        <c:lblOffset val="100"/>
        <c:noMultiLvlLbl val="0"/>
      </c:catAx>
      <c:valAx>
        <c:axId val="195903488"/>
        <c:scaling>
          <c:orientation val="minMax"/>
          <c:min val="2.0000000000000004E-2"/>
        </c:scaling>
        <c:delete val="0"/>
        <c:axPos val="l"/>
        <c:majorGridlines/>
        <c:numFmt formatCode="0.0%" sourceLinked="0"/>
        <c:majorTickMark val="out"/>
        <c:minorTickMark val="none"/>
        <c:tickLblPos val="nextTo"/>
        <c:crossAx val="195889408"/>
        <c:crosses val="autoZero"/>
        <c:crossBetween val="between"/>
        <c:majorUnit val="5.000000000000001E-3"/>
      </c:valAx>
    </c:plotArea>
    <c:legend>
      <c:legendPos val="r"/>
      <c:layout>
        <c:manualLayout>
          <c:xMode val="edge"/>
          <c:yMode val="edge"/>
          <c:x val="0.823626844943806"/>
          <c:y val="0.17301181102362204"/>
          <c:w val="0.1607015114233766"/>
          <c:h val="0.39310681273536457"/>
        </c:manualLayout>
      </c:layout>
      <c:overlay val="0"/>
    </c:legend>
    <c:plotVisOnly val="1"/>
    <c:dispBlanksAs val="gap"/>
    <c:showDLblsOverMax val="0"/>
  </c:chart>
  <c:spPr>
    <a:ln>
      <a:solidFill>
        <a:sysClr val="window" lastClr="FFFFFF">
          <a:lumMod val="50000"/>
        </a:sysClr>
      </a:solidFill>
    </a:ln>
  </c:sp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5.5273207144501721E-2"/>
          <c:y val="4.4085842985963707E-2"/>
          <c:w val="0.66810179858634156"/>
          <c:h val="0.78219963975185958"/>
        </c:manualLayout>
      </c:layout>
      <c:lineChart>
        <c:grouping val="standard"/>
        <c:varyColors val="0"/>
        <c:ser>
          <c:idx val="0"/>
          <c:order val="0"/>
          <c:tx>
            <c:strRef>
              <c:f>'10 Directorate LT Sickness'!$B$6</c:f>
              <c:strCache>
                <c:ptCount val="1"/>
                <c:pt idx="0">
                  <c:v>Chemotherapy Services</c:v>
                </c:pt>
              </c:strCache>
            </c:strRef>
          </c:tx>
          <c:spPr>
            <a:ln>
              <a:solidFill>
                <a:schemeClr val="bg1">
                  <a:lumMod val="75000"/>
                </a:schemeClr>
              </a:solidFill>
            </a:ln>
          </c:spPr>
          <c:marker>
            <c:symbol val="none"/>
          </c:marker>
          <c:cat>
            <c:numRef>
              <c:f>'10 Directorate LT Sickness'!$C$5:$N$5</c:f>
              <c:numCache>
                <c:formatCode>mmm\-yy</c:formatCode>
                <c:ptCount val="12"/>
                <c:pt idx="0">
                  <c:v>43617</c:v>
                </c:pt>
                <c:pt idx="1">
                  <c:v>43647</c:v>
                </c:pt>
                <c:pt idx="2">
                  <c:v>43678</c:v>
                </c:pt>
                <c:pt idx="3">
                  <c:v>43709</c:v>
                </c:pt>
                <c:pt idx="4">
                  <c:v>43739</c:v>
                </c:pt>
                <c:pt idx="5">
                  <c:v>43770</c:v>
                </c:pt>
                <c:pt idx="6">
                  <c:v>43800</c:v>
                </c:pt>
                <c:pt idx="7">
                  <c:v>43831</c:v>
                </c:pt>
                <c:pt idx="8">
                  <c:v>43862</c:v>
                </c:pt>
                <c:pt idx="9">
                  <c:v>43891</c:v>
                </c:pt>
                <c:pt idx="10">
                  <c:v>43922</c:v>
                </c:pt>
                <c:pt idx="11">
                  <c:v>43952</c:v>
                </c:pt>
              </c:numCache>
            </c:numRef>
          </c:cat>
          <c:val>
            <c:numRef>
              <c:f>'10 Directorate LT Sickness'!$C$6:$N$6</c:f>
              <c:numCache>
                <c:formatCode>General</c:formatCode>
                <c:ptCount val="12"/>
                <c:pt idx="0">
                  <c:v>6</c:v>
                </c:pt>
                <c:pt idx="1">
                  <c:v>8</c:v>
                </c:pt>
                <c:pt idx="2">
                  <c:v>7</c:v>
                </c:pt>
                <c:pt idx="3">
                  <c:v>13</c:v>
                </c:pt>
                <c:pt idx="4">
                  <c:v>16</c:v>
                </c:pt>
                <c:pt idx="5">
                  <c:v>16</c:v>
                </c:pt>
                <c:pt idx="6">
                  <c:v>9</c:v>
                </c:pt>
                <c:pt idx="7">
                  <c:v>12</c:v>
                </c:pt>
                <c:pt idx="8">
                  <c:v>11</c:v>
                </c:pt>
                <c:pt idx="9">
                  <c:v>9</c:v>
                </c:pt>
                <c:pt idx="10">
                  <c:v>13</c:v>
                </c:pt>
                <c:pt idx="11">
                  <c:v>15</c:v>
                </c:pt>
              </c:numCache>
            </c:numRef>
          </c:val>
          <c:smooth val="0"/>
        </c:ser>
        <c:ser>
          <c:idx val="1"/>
          <c:order val="1"/>
          <c:tx>
            <c:strRef>
              <c:f>'10 Directorate LT Sickness'!$B$7</c:f>
              <c:strCache>
                <c:ptCount val="1"/>
                <c:pt idx="0">
                  <c:v>Haemato-oncology</c:v>
                </c:pt>
              </c:strCache>
            </c:strRef>
          </c:tx>
          <c:spPr>
            <a:ln>
              <a:solidFill>
                <a:srgbClr val="7030A0"/>
              </a:solidFill>
            </a:ln>
          </c:spPr>
          <c:marker>
            <c:symbol val="none"/>
          </c:marker>
          <c:cat>
            <c:numRef>
              <c:f>'10 Directorate LT Sickness'!$C$5:$N$5</c:f>
              <c:numCache>
                <c:formatCode>mmm\-yy</c:formatCode>
                <c:ptCount val="12"/>
                <c:pt idx="0">
                  <c:v>43617</c:v>
                </c:pt>
                <c:pt idx="1">
                  <c:v>43647</c:v>
                </c:pt>
                <c:pt idx="2">
                  <c:v>43678</c:v>
                </c:pt>
                <c:pt idx="3">
                  <c:v>43709</c:v>
                </c:pt>
                <c:pt idx="4">
                  <c:v>43739</c:v>
                </c:pt>
                <c:pt idx="5">
                  <c:v>43770</c:v>
                </c:pt>
                <c:pt idx="6">
                  <c:v>43800</c:v>
                </c:pt>
                <c:pt idx="7">
                  <c:v>43831</c:v>
                </c:pt>
                <c:pt idx="8">
                  <c:v>43862</c:v>
                </c:pt>
                <c:pt idx="9">
                  <c:v>43891</c:v>
                </c:pt>
                <c:pt idx="10">
                  <c:v>43922</c:v>
                </c:pt>
                <c:pt idx="11">
                  <c:v>43952</c:v>
                </c:pt>
              </c:numCache>
            </c:numRef>
          </c:cat>
          <c:val>
            <c:numRef>
              <c:f>'10 Directorate LT Sickness'!$C$7:$N$7</c:f>
              <c:numCache>
                <c:formatCode>General</c:formatCode>
                <c:ptCount val="12"/>
                <c:pt idx="0">
                  <c:v>6</c:v>
                </c:pt>
                <c:pt idx="1">
                  <c:v>7</c:v>
                </c:pt>
                <c:pt idx="2">
                  <c:v>6</c:v>
                </c:pt>
                <c:pt idx="3">
                  <c:v>4</c:v>
                </c:pt>
                <c:pt idx="4">
                  <c:v>7</c:v>
                </c:pt>
                <c:pt idx="5">
                  <c:v>5</c:v>
                </c:pt>
                <c:pt idx="6">
                  <c:v>1</c:v>
                </c:pt>
                <c:pt idx="7">
                  <c:v>3</c:v>
                </c:pt>
                <c:pt idx="8">
                  <c:v>6</c:v>
                </c:pt>
                <c:pt idx="9">
                  <c:v>4</c:v>
                </c:pt>
                <c:pt idx="10">
                  <c:v>5</c:v>
                </c:pt>
                <c:pt idx="11">
                  <c:v>6</c:v>
                </c:pt>
              </c:numCache>
            </c:numRef>
          </c:val>
          <c:smooth val="0"/>
        </c:ser>
        <c:ser>
          <c:idx val="2"/>
          <c:order val="2"/>
          <c:tx>
            <c:strRef>
              <c:f>'10 Directorate LT Sickness'!$B$8</c:f>
              <c:strCache>
                <c:ptCount val="1"/>
                <c:pt idx="0">
                  <c:v>Integrated Care </c:v>
                </c:pt>
              </c:strCache>
            </c:strRef>
          </c:tx>
          <c:spPr>
            <a:ln>
              <a:solidFill>
                <a:srgbClr val="0099FF"/>
              </a:solidFill>
            </a:ln>
          </c:spPr>
          <c:marker>
            <c:symbol val="none"/>
          </c:marker>
          <c:cat>
            <c:numRef>
              <c:f>'10 Directorate LT Sickness'!$C$5:$N$5</c:f>
              <c:numCache>
                <c:formatCode>mmm\-yy</c:formatCode>
                <c:ptCount val="12"/>
                <c:pt idx="0">
                  <c:v>43617</c:v>
                </c:pt>
                <c:pt idx="1">
                  <c:v>43647</c:v>
                </c:pt>
                <c:pt idx="2">
                  <c:v>43678</c:v>
                </c:pt>
                <c:pt idx="3">
                  <c:v>43709</c:v>
                </c:pt>
                <c:pt idx="4">
                  <c:v>43739</c:v>
                </c:pt>
                <c:pt idx="5">
                  <c:v>43770</c:v>
                </c:pt>
                <c:pt idx="6">
                  <c:v>43800</c:v>
                </c:pt>
                <c:pt idx="7">
                  <c:v>43831</c:v>
                </c:pt>
                <c:pt idx="8">
                  <c:v>43862</c:v>
                </c:pt>
                <c:pt idx="9">
                  <c:v>43891</c:v>
                </c:pt>
                <c:pt idx="10">
                  <c:v>43922</c:v>
                </c:pt>
                <c:pt idx="11">
                  <c:v>43952</c:v>
                </c:pt>
              </c:numCache>
            </c:numRef>
          </c:cat>
          <c:val>
            <c:numRef>
              <c:f>'10 Directorate LT Sickness'!$C$8:$N$8</c:f>
              <c:numCache>
                <c:formatCode>General</c:formatCode>
                <c:ptCount val="12"/>
                <c:pt idx="0">
                  <c:v>12</c:v>
                </c:pt>
                <c:pt idx="1">
                  <c:v>16</c:v>
                </c:pt>
                <c:pt idx="2">
                  <c:v>12</c:v>
                </c:pt>
                <c:pt idx="3">
                  <c:v>12</c:v>
                </c:pt>
                <c:pt idx="4">
                  <c:v>15</c:v>
                </c:pt>
                <c:pt idx="5">
                  <c:v>14</c:v>
                </c:pt>
                <c:pt idx="6">
                  <c:v>11</c:v>
                </c:pt>
                <c:pt idx="7">
                  <c:v>9</c:v>
                </c:pt>
                <c:pt idx="8">
                  <c:v>8</c:v>
                </c:pt>
                <c:pt idx="9">
                  <c:v>8</c:v>
                </c:pt>
                <c:pt idx="10">
                  <c:v>6</c:v>
                </c:pt>
                <c:pt idx="11">
                  <c:v>3</c:v>
                </c:pt>
              </c:numCache>
            </c:numRef>
          </c:val>
          <c:smooth val="0"/>
        </c:ser>
        <c:ser>
          <c:idx val="3"/>
          <c:order val="3"/>
          <c:tx>
            <c:strRef>
              <c:f>'10 Directorate LT Sickness'!$B$9</c:f>
              <c:strCache>
                <c:ptCount val="1"/>
                <c:pt idx="0">
                  <c:v>Radiation Services </c:v>
                </c:pt>
              </c:strCache>
            </c:strRef>
          </c:tx>
          <c:spPr>
            <a:ln>
              <a:solidFill>
                <a:srgbClr val="FF99CC"/>
              </a:solidFill>
            </a:ln>
          </c:spPr>
          <c:marker>
            <c:symbol val="none"/>
          </c:marker>
          <c:cat>
            <c:numRef>
              <c:f>'10 Directorate LT Sickness'!$C$5:$N$5</c:f>
              <c:numCache>
                <c:formatCode>mmm\-yy</c:formatCode>
                <c:ptCount val="12"/>
                <c:pt idx="0">
                  <c:v>43617</c:v>
                </c:pt>
                <c:pt idx="1">
                  <c:v>43647</c:v>
                </c:pt>
                <c:pt idx="2">
                  <c:v>43678</c:v>
                </c:pt>
                <c:pt idx="3">
                  <c:v>43709</c:v>
                </c:pt>
                <c:pt idx="4">
                  <c:v>43739</c:v>
                </c:pt>
                <c:pt idx="5">
                  <c:v>43770</c:v>
                </c:pt>
                <c:pt idx="6">
                  <c:v>43800</c:v>
                </c:pt>
                <c:pt idx="7">
                  <c:v>43831</c:v>
                </c:pt>
                <c:pt idx="8">
                  <c:v>43862</c:v>
                </c:pt>
                <c:pt idx="9">
                  <c:v>43891</c:v>
                </c:pt>
                <c:pt idx="10">
                  <c:v>43922</c:v>
                </c:pt>
                <c:pt idx="11">
                  <c:v>43952</c:v>
                </c:pt>
              </c:numCache>
            </c:numRef>
          </c:cat>
          <c:val>
            <c:numRef>
              <c:f>'10 Directorate LT Sickness'!$C$9:$N$9</c:f>
              <c:numCache>
                <c:formatCode>General</c:formatCode>
                <c:ptCount val="12"/>
                <c:pt idx="0">
                  <c:v>11</c:v>
                </c:pt>
                <c:pt idx="1">
                  <c:v>10</c:v>
                </c:pt>
                <c:pt idx="2">
                  <c:v>10</c:v>
                </c:pt>
                <c:pt idx="3">
                  <c:v>6</c:v>
                </c:pt>
                <c:pt idx="4">
                  <c:v>8</c:v>
                </c:pt>
                <c:pt idx="5">
                  <c:v>8</c:v>
                </c:pt>
                <c:pt idx="6">
                  <c:v>5</c:v>
                </c:pt>
                <c:pt idx="7">
                  <c:v>5</c:v>
                </c:pt>
                <c:pt idx="8">
                  <c:v>7</c:v>
                </c:pt>
                <c:pt idx="9">
                  <c:v>12</c:v>
                </c:pt>
                <c:pt idx="10">
                  <c:v>11</c:v>
                </c:pt>
                <c:pt idx="11">
                  <c:v>6</c:v>
                </c:pt>
              </c:numCache>
            </c:numRef>
          </c:val>
          <c:smooth val="0"/>
        </c:ser>
        <c:dLbls>
          <c:showLegendKey val="0"/>
          <c:showVal val="0"/>
          <c:showCatName val="0"/>
          <c:showSerName val="0"/>
          <c:showPercent val="0"/>
          <c:showBubbleSize val="0"/>
        </c:dLbls>
        <c:marker val="1"/>
        <c:smooth val="0"/>
        <c:axId val="195929984"/>
        <c:axId val="195931520"/>
      </c:lineChart>
      <c:dateAx>
        <c:axId val="195929984"/>
        <c:scaling>
          <c:orientation val="minMax"/>
        </c:scaling>
        <c:delete val="0"/>
        <c:axPos val="b"/>
        <c:numFmt formatCode="mmm\-yy" sourceLinked="1"/>
        <c:majorTickMark val="out"/>
        <c:minorTickMark val="none"/>
        <c:tickLblPos val="nextTo"/>
        <c:txPr>
          <a:bodyPr/>
          <a:lstStyle/>
          <a:p>
            <a:pPr>
              <a:defRPr sz="800"/>
            </a:pPr>
            <a:endParaRPr lang="en-US"/>
          </a:p>
        </c:txPr>
        <c:crossAx val="195931520"/>
        <c:crosses val="autoZero"/>
        <c:auto val="1"/>
        <c:lblOffset val="100"/>
        <c:baseTimeUnit val="months"/>
      </c:dateAx>
      <c:valAx>
        <c:axId val="195931520"/>
        <c:scaling>
          <c:orientation val="minMax"/>
        </c:scaling>
        <c:delete val="0"/>
        <c:axPos val="l"/>
        <c:majorGridlines/>
        <c:numFmt formatCode="General" sourceLinked="1"/>
        <c:majorTickMark val="out"/>
        <c:minorTickMark val="none"/>
        <c:tickLblPos val="nextTo"/>
        <c:crossAx val="195929984"/>
        <c:crosses val="autoZero"/>
        <c:crossBetween val="between"/>
      </c:valAx>
    </c:plotArea>
    <c:legend>
      <c:legendPos val="r"/>
      <c:layout>
        <c:manualLayout>
          <c:xMode val="edge"/>
          <c:yMode val="edge"/>
          <c:x val="0.75323416889168937"/>
          <c:y val="0.2275544899812153"/>
          <c:w val="0.24250023637104695"/>
          <c:h val="0.47561456041958683"/>
        </c:manualLayout>
      </c:layout>
      <c:overlay val="0"/>
      <c:txPr>
        <a:bodyPr/>
        <a:lstStyle/>
        <a:p>
          <a:pPr>
            <a:defRPr sz="900"/>
          </a:pPr>
          <a:endParaRPr lang="en-US"/>
        </a:p>
      </c:txPr>
    </c:legend>
    <c:plotVisOnly val="1"/>
    <c:dispBlanksAs val="gap"/>
    <c:showDLblsOverMax val="0"/>
  </c:chart>
  <c:spPr>
    <a:ln>
      <a:solidFill>
        <a:sysClr val="window" lastClr="FFFFFF">
          <a:lumMod val="50000"/>
        </a:sysClr>
      </a:solidFill>
    </a:ln>
  </c:sp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821704869419919E-2"/>
          <c:y val="6.0659813356663747E-2"/>
          <c:w val="0.88243580863982396"/>
          <c:h val="0.59083442694663169"/>
        </c:manualLayout>
      </c:layout>
      <c:lineChart>
        <c:grouping val="standard"/>
        <c:varyColors val="0"/>
        <c:ser>
          <c:idx val="0"/>
          <c:order val="0"/>
          <c:tx>
            <c:strRef>
              <c:f>'GRAPHS FOR REPORT'!$D$98</c:f>
              <c:strCache>
                <c:ptCount val="1"/>
                <c:pt idx="0">
                  <c:v>2018/19</c:v>
                </c:pt>
              </c:strCache>
            </c:strRef>
          </c:tx>
          <c:marker>
            <c:symbol val="none"/>
          </c:marker>
          <c:cat>
            <c:strRef>
              <c:f>'GRAPHS FOR REPORT'!$A$99:$A$110</c:f>
              <c:strCache>
                <c:ptCount val="12"/>
                <c:pt idx="0">
                  <c:v>April</c:v>
                </c:pt>
                <c:pt idx="1">
                  <c:v>May</c:v>
                </c:pt>
                <c:pt idx="2">
                  <c:v>June</c:v>
                </c:pt>
                <c:pt idx="3">
                  <c:v>July</c:v>
                </c:pt>
                <c:pt idx="4">
                  <c:v>August</c:v>
                </c:pt>
                <c:pt idx="5">
                  <c:v>September</c:v>
                </c:pt>
                <c:pt idx="6">
                  <c:v>October</c:v>
                </c:pt>
                <c:pt idx="7">
                  <c:v>November</c:v>
                </c:pt>
                <c:pt idx="8">
                  <c:v>December</c:v>
                </c:pt>
                <c:pt idx="9">
                  <c:v>January</c:v>
                </c:pt>
                <c:pt idx="10">
                  <c:v>February</c:v>
                </c:pt>
                <c:pt idx="11">
                  <c:v>March</c:v>
                </c:pt>
              </c:strCache>
            </c:strRef>
          </c:cat>
          <c:val>
            <c:numRef>
              <c:f>'GRAPHS FOR REPORT'!$D$99:$D$110</c:f>
              <c:numCache>
                <c:formatCode>0.00%</c:formatCode>
                <c:ptCount val="12"/>
                <c:pt idx="0">
                  <c:v>0.1187</c:v>
                </c:pt>
                <c:pt idx="1">
                  <c:v>0.12529999999999999</c:v>
                </c:pt>
                <c:pt idx="2">
                  <c:v>0.1298</c:v>
                </c:pt>
                <c:pt idx="3">
                  <c:v>0.13700000000000001</c:v>
                </c:pt>
                <c:pt idx="4">
                  <c:v>0.13550000000000001</c:v>
                </c:pt>
                <c:pt idx="5">
                  <c:v>0.13009999999999999</c:v>
                </c:pt>
                <c:pt idx="6">
                  <c:v>0.1328</c:v>
                </c:pt>
                <c:pt idx="7">
                  <c:v>0.14599999999999999</c:v>
                </c:pt>
                <c:pt idx="8">
                  <c:v>0.14199999999999999</c:v>
                </c:pt>
                <c:pt idx="9">
                  <c:v>0.14219999999999999</c:v>
                </c:pt>
                <c:pt idx="10">
                  <c:v>0.14580000000000001</c:v>
                </c:pt>
                <c:pt idx="11">
                  <c:v>0.14849999999999999</c:v>
                </c:pt>
              </c:numCache>
            </c:numRef>
          </c:val>
          <c:smooth val="0"/>
        </c:ser>
        <c:ser>
          <c:idx val="1"/>
          <c:order val="1"/>
          <c:tx>
            <c:strRef>
              <c:f>'GRAPHS FOR REPORT'!$E$98</c:f>
              <c:strCache>
                <c:ptCount val="1"/>
                <c:pt idx="0">
                  <c:v>2019/20</c:v>
                </c:pt>
              </c:strCache>
            </c:strRef>
          </c:tx>
          <c:marker>
            <c:symbol val="none"/>
          </c:marker>
          <c:cat>
            <c:strRef>
              <c:f>'GRAPHS FOR REPORT'!$A$99:$A$110</c:f>
              <c:strCache>
                <c:ptCount val="12"/>
                <c:pt idx="0">
                  <c:v>April</c:v>
                </c:pt>
                <c:pt idx="1">
                  <c:v>May</c:v>
                </c:pt>
                <c:pt idx="2">
                  <c:v>June</c:v>
                </c:pt>
                <c:pt idx="3">
                  <c:v>July</c:v>
                </c:pt>
                <c:pt idx="4">
                  <c:v>August</c:v>
                </c:pt>
                <c:pt idx="5">
                  <c:v>September</c:v>
                </c:pt>
                <c:pt idx="6">
                  <c:v>October</c:v>
                </c:pt>
                <c:pt idx="7">
                  <c:v>November</c:v>
                </c:pt>
                <c:pt idx="8">
                  <c:v>December</c:v>
                </c:pt>
                <c:pt idx="9">
                  <c:v>January</c:v>
                </c:pt>
                <c:pt idx="10">
                  <c:v>February</c:v>
                </c:pt>
                <c:pt idx="11">
                  <c:v>March</c:v>
                </c:pt>
              </c:strCache>
            </c:strRef>
          </c:cat>
          <c:val>
            <c:numRef>
              <c:f>'GRAPHS FOR REPORT'!$E$99:$E$110</c:f>
              <c:numCache>
                <c:formatCode>0.00%</c:formatCode>
                <c:ptCount val="12"/>
                <c:pt idx="0">
                  <c:v>0.1452</c:v>
                </c:pt>
                <c:pt idx="1">
                  <c:v>0.14319999999999999</c:v>
                </c:pt>
                <c:pt idx="2">
                  <c:v>0.1414</c:v>
                </c:pt>
                <c:pt idx="3">
                  <c:v>0.1429</c:v>
                </c:pt>
                <c:pt idx="4">
                  <c:v>0.14630000000000001</c:v>
                </c:pt>
                <c:pt idx="5">
                  <c:v>0.14749999999999999</c:v>
                </c:pt>
                <c:pt idx="6">
                  <c:v>0.14910000000000001</c:v>
                </c:pt>
                <c:pt idx="7">
                  <c:v>0.14119999999999999</c:v>
                </c:pt>
                <c:pt idx="8">
                  <c:v>0.13869999999999999</c:v>
                </c:pt>
                <c:pt idx="9">
                  <c:v>0.14299999999999999</c:v>
                </c:pt>
                <c:pt idx="10">
                  <c:v>0.14510000000000001</c:v>
                </c:pt>
                <c:pt idx="11">
                  <c:v>0.14990000000000001</c:v>
                </c:pt>
              </c:numCache>
            </c:numRef>
          </c:val>
          <c:smooth val="0"/>
        </c:ser>
        <c:ser>
          <c:idx val="2"/>
          <c:order val="2"/>
          <c:tx>
            <c:strRef>
              <c:f>'GRAPHS FOR REPORT'!$F$98</c:f>
              <c:strCache>
                <c:ptCount val="1"/>
                <c:pt idx="0">
                  <c:v>2020/21</c:v>
                </c:pt>
              </c:strCache>
            </c:strRef>
          </c:tx>
          <c:marker>
            <c:symbol val="none"/>
          </c:marker>
          <c:dPt>
            <c:idx val="0"/>
            <c:marker>
              <c:symbol val="dash"/>
              <c:size val="6"/>
            </c:marker>
            <c:bubble3D val="0"/>
          </c:dPt>
          <c:cat>
            <c:strRef>
              <c:f>'GRAPHS FOR REPORT'!$A$99:$A$110</c:f>
              <c:strCache>
                <c:ptCount val="12"/>
                <c:pt idx="0">
                  <c:v>April</c:v>
                </c:pt>
                <c:pt idx="1">
                  <c:v>May</c:v>
                </c:pt>
                <c:pt idx="2">
                  <c:v>June</c:v>
                </c:pt>
                <c:pt idx="3">
                  <c:v>July</c:v>
                </c:pt>
                <c:pt idx="4">
                  <c:v>August</c:v>
                </c:pt>
                <c:pt idx="5">
                  <c:v>September</c:v>
                </c:pt>
                <c:pt idx="6">
                  <c:v>October</c:v>
                </c:pt>
                <c:pt idx="7">
                  <c:v>November</c:v>
                </c:pt>
                <c:pt idx="8">
                  <c:v>December</c:v>
                </c:pt>
                <c:pt idx="9">
                  <c:v>January</c:v>
                </c:pt>
                <c:pt idx="10">
                  <c:v>February</c:v>
                </c:pt>
                <c:pt idx="11">
                  <c:v>March</c:v>
                </c:pt>
              </c:strCache>
            </c:strRef>
          </c:cat>
          <c:val>
            <c:numRef>
              <c:f>'GRAPHS FOR REPORT'!$F$99:$F$110</c:f>
              <c:numCache>
                <c:formatCode>0.00%</c:formatCode>
                <c:ptCount val="12"/>
                <c:pt idx="0">
                  <c:v>0.15260000000000001</c:v>
                </c:pt>
                <c:pt idx="1">
                  <c:v>0.14810000000000001</c:v>
                </c:pt>
              </c:numCache>
            </c:numRef>
          </c:val>
          <c:smooth val="0"/>
        </c:ser>
        <c:ser>
          <c:idx val="3"/>
          <c:order val="3"/>
          <c:tx>
            <c:strRef>
              <c:f>'GRAPHS FOR REPORT'!$G$98</c:f>
              <c:strCache>
                <c:ptCount val="1"/>
                <c:pt idx="0">
                  <c:v>Target</c:v>
                </c:pt>
              </c:strCache>
            </c:strRef>
          </c:tx>
          <c:spPr>
            <a:ln>
              <a:solidFill>
                <a:sysClr val="windowText" lastClr="000000"/>
              </a:solidFill>
              <a:prstDash val="sysDash"/>
            </a:ln>
          </c:spPr>
          <c:marker>
            <c:symbol val="none"/>
          </c:marker>
          <c:cat>
            <c:strRef>
              <c:f>'GRAPHS FOR REPORT'!$A$99:$A$110</c:f>
              <c:strCache>
                <c:ptCount val="12"/>
                <c:pt idx="0">
                  <c:v>April</c:v>
                </c:pt>
                <c:pt idx="1">
                  <c:v>May</c:v>
                </c:pt>
                <c:pt idx="2">
                  <c:v>June</c:v>
                </c:pt>
                <c:pt idx="3">
                  <c:v>July</c:v>
                </c:pt>
                <c:pt idx="4">
                  <c:v>August</c:v>
                </c:pt>
                <c:pt idx="5">
                  <c:v>September</c:v>
                </c:pt>
                <c:pt idx="6">
                  <c:v>October</c:v>
                </c:pt>
                <c:pt idx="7">
                  <c:v>November</c:v>
                </c:pt>
                <c:pt idx="8">
                  <c:v>December</c:v>
                </c:pt>
                <c:pt idx="9">
                  <c:v>January</c:v>
                </c:pt>
                <c:pt idx="10">
                  <c:v>February</c:v>
                </c:pt>
                <c:pt idx="11">
                  <c:v>March</c:v>
                </c:pt>
              </c:strCache>
            </c:strRef>
          </c:cat>
          <c:val>
            <c:numRef>
              <c:f>'GRAPHS FOR REPORT'!$G$99:$G$110</c:f>
              <c:numCache>
                <c:formatCode>0%</c:formatCode>
                <c:ptCount val="12"/>
                <c:pt idx="0">
                  <c:v>0.14000000000000001</c:v>
                </c:pt>
                <c:pt idx="1">
                  <c:v>0.14000000000000001</c:v>
                </c:pt>
                <c:pt idx="2">
                  <c:v>0.14000000000000001</c:v>
                </c:pt>
                <c:pt idx="3">
                  <c:v>0.14000000000000001</c:v>
                </c:pt>
                <c:pt idx="4">
                  <c:v>0.14000000000000001</c:v>
                </c:pt>
                <c:pt idx="5">
                  <c:v>0.14000000000000001</c:v>
                </c:pt>
                <c:pt idx="6">
                  <c:v>0.14000000000000001</c:v>
                </c:pt>
                <c:pt idx="7">
                  <c:v>0.14000000000000001</c:v>
                </c:pt>
                <c:pt idx="8">
                  <c:v>0.14000000000000001</c:v>
                </c:pt>
                <c:pt idx="9">
                  <c:v>0.14000000000000001</c:v>
                </c:pt>
                <c:pt idx="10">
                  <c:v>0.14000000000000001</c:v>
                </c:pt>
                <c:pt idx="11">
                  <c:v>0.14000000000000001</c:v>
                </c:pt>
              </c:numCache>
            </c:numRef>
          </c:val>
          <c:smooth val="0"/>
        </c:ser>
        <c:dLbls>
          <c:showLegendKey val="0"/>
          <c:showVal val="0"/>
          <c:showCatName val="0"/>
          <c:showSerName val="0"/>
          <c:showPercent val="0"/>
          <c:showBubbleSize val="0"/>
        </c:dLbls>
        <c:marker val="1"/>
        <c:smooth val="0"/>
        <c:axId val="197539328"/>
        <c:axId val="197540864"/>
      </c:lineChart>
      <c:catAx>
        <c:axId val="197539328"/>
        <c:scaling>
          <c:orientation val="minMax"/>
        </c:scaling>
        <c:delete val="0"/>
        <c:axPos val="b"/>
        <c:majorTickMark val="out"/>
        <c:minorTickMark val="none"/>
        <c:tickLblPos val="nextTo"/>
        <c:txPr>
          <a:bodyPr/>
          <a:lstStyle/>
          <a:p>
            <a:pPr>
              <a:defRPr sz="800"/>
            </a:pPr>
            <a:endParaRPr lang="en-US"/>
          </a:p>
        </c:txPr>
        <c:crossAx val="197540864"/>
        <c:crosses val="autoZero"/>
        <c:auto val="1"/>
        <c:lblAlgn val="ctr"/>
        <c:lblOffset val="100"/>
        <c:noMultiLvlLbl val="0"/>
      </c:catAx>
      <c:valAx>
        <c:axId val="197540864"/>
        <c:scaling>
          <c:orientation val="minMax"/>
          <c:max val="0.16000000000000003"/>
          <c:min val="0.1"/>
        </c:scaling>
        <c:delete val="0"/>
        <c:axPos val="l"/>
        <c:majorGridlines/>
        <c:numFmt formatCode="0%" sourceLinked="0"/>
        <c:majorTickMark val="out"/>
        <c:minorTickMark val="none"/>
        <c:tickLblPos val="nextTo"/>
        <c:crossAx val="197539328"/>
        <c:crosses val="autoZero"/>
        <c:crossBetween val="between"/>
      </c:valAx>
    </c:plotArea>
    <c:legend>
      <c:legendPos val="b"/>
      <c:overlay val="0"/>
    </c:legend>
    <c:plotVisOnly val="1"/>
    <c:dispBlanksAs val="gap"/>
    <c:showDLblsOverMax val="0"/>
  </c:chart>
  <c:spPr>
    <a:ln>
      <a:solidFill>
        <a:sysClr val="window" lastClr="FFFFFF">
          <a:lumMod val="50000"/>
        </a:sysClr>
      </a:solidFill>
    </a:ln>
  </c:sp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lineChart>
        <c:grouping val="standard"/>
        <c:varyColors val="0"/>
        <c:ser>
          <c:idx val="0"/>
          <c:order val="0"/>
          <c:tx>
            <c:strRef>
              <c:f>'GRAPHS FOR REPORT'!$D$24</c:f>
              <c:strCache>
                <c:ptCount val="1"/>
                <c:pt idx="0">
                  <c:v>2018/19</c:v>
                </c:pt>
              </c:strCache>
            </c:strRef>
          </c:tx>
          <c:marker>
            <c:symbol val="none"/>
          </c:marker>
          <c:cat>
            <c:strRef>
              <c:f>'GRAPHS FOR REPORT'!$A$25:$A$36</c:f>
              <c:strCache>
                <c:ptCount val="12"/>
                <c:pt idx="0">
                  <c:v>April</c:v>
                </c:pt>
                <c:pt idx="1">
                  <c:v>May</c:v>
                </c:pt>
                <c:pt idx="2">
                  <c:v>June</c:v>
                </c:pt>
                <c:pt idx="3">
                  <c:v>July</c:v>
                </c:pt>
                <c:pt idx="4">
                  <c:v>August</c:v>
                </c:pt>
                <c:pt idx="5">
                  <c:v>September</c:v>
                </c:pt>
                <c:pt idx="6">
                  <c:v>October</c:v>
                </c:pt>
                <c:pt idx="7">
                  <c:v>November</c:v>
                </c:pt>
                <c:pt idx="8">
                  <c:v>December</c:v>
                </c:pt>
                <c:pt idx="9">
                  <c:v>January</c:v>
                </c:pt>
                <c:pt idx="10">
                  <c:v>February</c:v>
                </c:pt>
                <c:pt idx="11">
                  <c:v>March</c:v>
                </c:pt>
              </c:strCache>
            </c:strRef>
          </c:cat>
          <c:val>
            <c:numRef>
              <c:f>'GRAPHS FOR REPORT'!$D$25:$D$36</c:f>
              <c:numCache>
                <c:formatCode>0%</c:formatCode>
                <c:ptCount val="12"/>
                <c:pt idx="0">
                  <c:v>0.82</c:v>
                </c:pt>
                <c:pt idx="1">
                  <c:v>0.86</c:v>
                </c:pt>
                <c:pt idx="2">
                  <c:v>0.81</c:v>
                </c:pt>
                <c:pt idx="3">
                  <c:v>0.84</c:v>
                </c:pt>
                <c:pt idx="4">
                  <c:v>0.85</c:v>
                </c:pt>
                <c:pt idx="5">
                  <c:v>0.84</c:v>
                </c:pt>
                <c:pt idx="6">
                  <c:v>0.82</c:v>
                </c:pt>
                <c:pt idx="7">
                  <c:v>0.85</c:v>
                </c:pt>
                <c:pt idx="8">
                  <c:v>0.86</c:v>
                </c:pt>
                <c:pt idx="9">
                  <c:v>0.89</c:v>
                </c:pt>
                <c:pt idx="10">
                  <c:v>0.9</c:v>
                </c:pt>
                <c:pt idx="11">
                  <c:v>0.93</c:v>
                </c:pt>
              </c:numCache>
            </c:numRef>
          </c:val>
          <c:smooth val="0"/>
        </c:ser>
        <c:ser>
          <c:idx val="1"/>
          <c:order val="1"/>
          <c:tx>
            <c:strRef>
              <c:f>'GRAPHS FOR REPORT'!$E$24</c:f>
              <c:strCache>
                <c:ptCount val="1"/>
                <c:pt idx="0">
                  <c:v>2019/20</c:v>
                </c:pt>
              </c:strCache>
            </c:strRef>
          </c:tx>
          <c:marker>
            <c:symbol val="none"/>
          </c:marker>
          <c:cat>
            <c:strRef>
              <c:f>'GRAPHS FOR REPORT'!$A$25:$A$36</c:f>
              <c:strCache>
                <c:ptCount val="12"/>
                <c:pt idx="0">
                  <c:v>April</c:v>
                </c:pt>
                <c:pt idx="1">
                  <c:v>May</c:v>
                </c:pt>
                <c:pt idx="2">
                  <c:v>June</c:v>
                </c:pt>
                <c:pt idx="3">
                  <c:v>July</c:v>
                </c:pt>
                <c:pt idx="4">
                  <c:v>August</c:v>
                </c:pt>
                <c:pt idx="5">
                  <c:v>September</c:v>
                </c:pt>
                <c:pt idx="6">
                  <c:v>October</c:v>
                </c:pt>
                <c:pt idx="7">
                  <c:v>November</c:v>
                </c:pt>
                <c:pt idx="8">
                  <c:v>December</c:v>
                </c:pt>
                <c:pt idx="9">
                  <c:v>January</c:v>
                </c:pt>
                <c:pt idx="10">
                  <c:v>February</c:v>
                </c:pt>
                <c:pt idx="11">
                  <c:v>March</c:v>
                </c:pt>
              </c:strCache>
            </c:strRef>
          </c:cat>
          <c:val>
            <c:numRef>
              <c:f>'GRAPHS FOR REPORT'!$E$25:$E$36</c:f>
              <c:numCache>
                <c:formatCode>0.00%</c:formatCode>
                <c:ptCount val="12"/>
                <c:pt idx="0">
                  <c:v>0.94</c:v>
                </c:pt>
                <c:pt idx="1">
                  <c:v>0.9</c:v>
                </c:pt>
                <c:pt idx="2">
                  <c:v>0.92</c:v>
                </c:pt>
                <c:pt idx="3">
                  <c:v>0.92300000000000004</c:v>
                </c:pt>
                <c:pt idx="4">
                  <c:v>0.94499999999999995</c:v>
                </c:pt>
                <c:pt idx="5">
                  <c:v>0.92</c:v>
                </c:pt>
                <c:pt idx="6">
                  <c:v>0.93669999999999998</c:v>
                </c:pt>
                <c:pt idx="7">
                  <c:v>0.93</c:v>
                </c:pt>
                <c:pt idx="8">
                  <c:v>0.93400000000000005</c:v>
                </c:pt>
                <c:pt idx="9">
                  <c:v>0.94769999999999999</c:v>
                </c:pt>
                <c:pt idx="10">
                  <c:v>0.95589999999999997</c:v>
                </c:pt>
                <c:pt idx="11">
                  <c:v>0.95489999999999997</c:v>
                </c:pt>
              </c:numCache>
            </c:numRef>
          </c:val>
          <c:smooth val="0"/>
        </c:ser>
        <c:ser>
          <c:idx val="2"/>
          <c:order val="2"/>
          <c:tx>
            <c:strRef>
              <c:f>'GRAPHS FOR REPORT'!$F$24</c:f>
              <c:strCache>
                <c:ptCount val="1"/>
                <c:pt idx="0">
                  <c:v>2020/21</c:v>
                </c:pt>
              </c:strCache>
            </c:strRef>
          </c:tx>
          <c:marker>
            <c:symbol val="dash"/>
            <c:size val="6"/>
          </c:marker>
          <c:cat>
            <c:strRef>
              <c:f>'GRAPHS FOR REPORT'!$A$25:$A$36</c:f>
              <c:strCache>
                <c:ptCount val="12"/>
                <c:pt idx="0">
                  <c:v>April</c:v>
                </c:pt>
                <c:pt idx="1">
                  <c:v>May</c:v>
                </c:pt>
                <c:pt idx="2">
                  <c:v>June</c:v>
                </c:pt>
                <c:pt idx="3">
                  <c:v>July</c:v>
                </c:pt>
                <c:pt idx="4">
                  <c:v>August</c:v>
                </c:pt>
                <c:pt idx="5">
                  <c:v>September</c:v>
                </c:pt>
                <c:pt idx="6">
                  <c:v>October</c:v>
                </c:pt>
                <c:pt idx="7">
                  <c:v>November</c:v>
                </c:pt>
                <c:pt idx="8">
                  <c:v>December</c:v>
                </c:pt>
                <c:pt idx="9">
                  <c:v>January</c:v>
                </c:pt>
                <c:pt idx="10">
                  <c:v>February</c:v>
                </c:pt>
                <c:pt idx="11">
                  <c:v>March</c:v>
                </c:pt>
              </c:strCache>
            </c:strRef>
          </c:cat>
          <c:val>
            <c:numRef>
              <c:f>'GRAPHS FOR REPORT'!$F$25:$F$36</c:f>
              <c:numCache>
                <c:formatCode>0.00%</c:formatCode>
                <c:ptCount val="12"/>
                <c:pt idx="0">
                  <c:v>0.9516</c:v>
                </c:pt>
                <c:pt idx="1">
                  <c:v>0.95660000000000001</c:v>
                </c:pt>
              </c:numCache>
            </c:numRef>
          </c:val>
          <c:smooth val="0"/>
        </c:ser>
        <c:ser>
          <c:idx val="3"/>
          <c:order val="3"/>
          <c:tx>
            <c:strRef>
              <c:f>'GRAPHS FOR REPORT'!$G$24</c:f>
              <c:strCache>
                <c:ptCount val="1"/>
                <c:pt idx="0">
                  <c:v>Target</c:v>
                </c:pt>
              </c:strCache>
            </c:strRef>
          </c:tx>
          <c:spPr>
            <a:ln>
              <a:solidFill>
                <a:sysClr val="windowText" lastClr="000000"/>
              </a:solidFill>
              <a:prstDash val="sysDot"/>
            </a:ln>
          </c:spPr>
          <c:marker>
            <c:symbol val="none"/>
          </c:marker>
          <c:cat>
            <c:strRef>
              <c:f>'GRAPHS FOR REPORT'!$A$25:$A$36</c:f>
              <c:strCache>
                <c:ptCount val="12"/>
                <c:pt idx="0">
                  <c:v>April</c:v>
                </c:pt>
                <c:pt idx="1">
                  <c:v>May</c:v>
                </c:pt>
                <c:pt idx="2">
                  <c:v>June</c:v>
                </c:pt>
                <c:pt idx="3">
                  <c:v>July</c:v>
                </c:pt>
                <c:pt idx="4">
                  <c:v>August</c:v>
                </c:pt>
                <c:pt idx="5">
                  <c:v>September</c:v>
                </c:pt>
                <c:pt idx="6">
                  <c:v>October</c:v>
                </c:pt>
                <c:pt idx="7">
                  <c:v>November</c:v>
                </c:pt>
                <c:pt idx="8">
                  <c:v>December</c:v>
                </c:pt>
                <c:pt idx="9">
                  <c:v>January</c:v>
                </c:pt>
                <c:pt idx="10">
                  <c:v>February</c:v>
                </c:pt>
                <c:pt idx="11">
                  <c:v>March</c:v>
                </c:pt>
              </c:strCache>
            </c:strRef>
          </c:cat>
          <c:val>
            <c:numRef>
              <c:f>'GRAPHS FOR REPORT'!$G$25:$G$36</c:f>
              <c:numCache>
                <c:formatCode>0%</c:formatCode>
                <c:ptCount val="12"/>
                <c:pt idx="0">
                  <c:v>0.9</c:v>
                </c:pt>
                <c:pt idx="1">
                  <c:v>0.9</c:v>
                </c:pt>
                <c:pt idx="2">
                  <c:v>0.9</c:v>
                </c:pt>
                <c:pt idx="3">
                  <c:v>0.9</c:v>
                </c:pt>
                <c:pt idx="4">
                  <c:v>0.9</c:v>
                </c:pt>
                <c:pt idx="5">
                  <c:v>0.9</c:v>
                </c:pt>
                <c:pt idx="6">
                  <c:v>0.9</c:v>
                </c:pt>
                <c:pt idx="7">
                  <c:v>0.9</c:v>
                </c:pt>
                <c:pt idx="8">
                  <c:v>0.9</c:v>
                </c:pt>
                <c:pt idx="9">
                  <c:v>0.9</c:v>
                </c:pt>
                <c:pt idx="10">
                  <c:v>0.9</c:v>
                </c:pt>
                <c:pt idx="11">
                  <c:v>0.9</c:v>
                </c:pt>
              </c:numCache>
            </c:numRef>
          </c:val>
          <c:smooth val="0"/>
        </c:ser>
        <c:dLbls>
          <c:showLegendKey val="0"/>
          <c:showVal val="0"/>
          <c:showCatName val="0"/>
          <c:showSerName val="0"/>
          <c:showPercent val="0"/>
          <c:showBubbleSize val="0"/>
        </c:dLbls>
        <c:marker val="1"/>
        <c:smooth val="0"/>
        <c:axId val="197597056"/>
        <c:axId val="197598592"/>
      </c:lineChart>
      <c:catAx>
        <c:axId val="197597056"/>
        <c:scaling>
          <c:orientation val="minMax"/>
        </c:scaling>
        <c:delete val="0"/>
        <c:axPos val="b"/>
        <c:majorTickMark val="out"/>
        <c:minorTickMark val="none"/>
        <c:tickLblPos val="nextTo"/>
        <c:crossAx val="197598592"/>
        <c:crosses val="autoZero"/>
        <c:auto val="1"/>
        <c:lblAlgn val="ctr"/>
        <c:lblOffset val="100"/>
        <c:noMultiLvlLbl val="0"/>
      </c:catAx>
      <c:valAx>
        <c:axId val="197598592"/>
        <c:scaling>
          <c:orientation val="minMax"/>
          <c:min val="0.70000000000000007"/>
        </c:scaling>
        <c:delete val="0"/>
        <c:axPos val="l"/>
        <c:majorGridlines/>
        <c:numFmt formatCode="0%" sourceLinked="1"/>
        <c:majorTickMark val="out"/>
        <c:minorTickMark val="none"/>
        <c:tickLblPos val="nextTo"/>
        <c:crossAx val="197597056"/>
        <c:crosses val="autoZero"/>
        <c:crossBetween val="between"/>
      </c:valAx>
    </c:plotArea>
    <c:legend>
      <c:legendPos val="b"/>
      <c:layout>
        <c:manualLayout>
          <c:xMode val="edge"/>
          <c:yMode val="edge"/>
          <c:x val="4.4279759147753589E-2"/>
          <c:y val="0.79921135842271684"/>
          <c:w val="0.91144048170449277"/>
          <c:h val="0.16929257858515717"/>
        </c:manualLayout>
      </c:layout>
      <c:overlay val="0"/>
      <c:txPr>
        <a:bodyPr/>
        <a:lstStyle/>
        <a:p>
          <a:pPr>
            <a:defRPr sz="700"/>
          </a:pPr>
          <a:endParaRPr lang="en-US"/>
        </a:p>
      </c:txPr>
    </c:legend>
    <c:plotVisOnly val="1"/>
    <c:dispBlanksAs val="gap"/>
    <c:showDLblsOverMax val="0"/>
  </c:chart>
  <c:spPr>
    <a:ln>
      <a:solidFill>
        <a:sysClr val="window" lastClr="FFFFFF">
          <a:lumMod val="65000"/>
        </a:sysClr>
      </a:solidFill>
    </a:ln>
  </c:spPr>
  <c:txPr>
    <a:bodyPr/>
    <a:lstStyle/>
    <a:p>
      <a:pPr>
        <a:defRPr sz="900"/>
      </a:pPr>
      <a:endParaRPr lang="en-US"/>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lineChart>
        <c:grouping val="standard"/>
        <c:varyColors val="0"/>
        <c:ser>
          <c:idx val="0"/>
          <c:order val="0"/>
          <c:tx>
            <c:strRef>
              <c:f>'GRAPHS FOR REPORT'!$D$42</c:f>
              <c:strCache>
                <c:ptCount val="1"/>
                <c:pt idx="0">
                  <c:v>2018/19</c:v>
                </c:pt>
              </c:strCache>
            </c:strRef>
          </c:tx>
          <c:marker>
            <c:symbol val="none"/>
          </c:marker>
          <c:cat>
            <c:strRef>
              <c:f>'GRAPHS FOR REPORT'!$A$43:$A$54</c:f>
              <c:strCache>
                <c:ptCount val="12"/>
                <c:pt idx="0">
                  <c:v>April</c:v>
                </c:pt>
                <c:pt idx="1">
                  <c:v>May</c:v>
                </c:pt>
                <c:pt idx="2">
                  <c:v>June</c:v>
                </c:pt>
                <c:pt idx="3">
                  <c:v>July</c:v>
                </c:pt>
                <c:pt idx="4">
                  <c:v>August</c:v>
                </c:pt>
                <c:pt idx="5">
                  <c:v>September</c:v>
                </c:pt>
                <c:pt idx="6">
                  <c:v>October</c:v>
                </c:pt>
                <c:pt idx="7">
                  <c:v>November</c:v>
                </c:pt>
                <c:pt idx="8">
                  <c:v>December</c:v>
                </c:pt>
                <c:pt idx="9">
                  <c:v>January</c:v>
                </c:pt>
                <c:pt idx="10">
                  <c:v>February</c:v>
                </c:pt>
                <c:pt idx="11">
                  <c:v>March</c:v>
                </c:pt>
              </c:strCache>
            </c:strRef>
          </c:cat>
          <c:val>
            <c:numRef>
              <c:f>'GRAPHS FOR REPORT'!$D$43:$D$54</c:f>
              <c:numCache>
                <c:formatCode>0%</c:formatCode>
                <c:ptCount val="12"/>
                <c:pt idx="0">
                  <c:v>0.7</c:v>
                </c:pt>
                <c:pt idx="1">
                  <c:v>0.77</c:v>
                </c:pt>
                <c:pt idx="2">
                  <c:v>0.65</c:v>
                </c:pt>
                <c:pt idx="3">
                  <c:v>0.96</c:v>
                </c:pt>
                <c:pt idx="4">
                  <c:v>0.96</c:v>
                </c:pt>
                <c:pt idx="5">
                  <c:v>0.95</c:v>
                </c:pt>
                <c:pt idx="6">
                  <c:v>0.95</c:v>
                </c:pt>
                <c:pt idx="7">
                  <c:v>0.95</c:v>
                </c:pt>
                <c:pt idx="8">
                  <c:v>0.95</c:v>
                </c:pt>
                <c:pt idx="9">
                  <c:v>0.94</c:v>
                </c:pt>
                <c:pt idx="10">
                  <c:v>0.93</c:v>
                </c:pt>
                <c:pt idx="11">
                  <c:v>0.93</c:v>
                </c:pt>
              </c:numCache>
            </c:numRef>
          </c:val>
          <c:smooth val="0"/>
        </c:ser>
        <c:ser>
          <c:idx val="1"/>
          <c:order val="1"/>
          <c:tx>
            <c:strRef>
              <c:f>'GRAPHS FOR REPORT'!$E$42</c:f>
              <c:strCache>
                <c:ptCount val="1"/>
                <c:pt idx="0">
                  <c:v>2019/20</c:v>
                </c:pt>
              </c:strCache>
            </c:strRef>
          </c:tx>
          <c:marker>
            <c:symbol val="none"/>
          </c:marker>
          <c:cat>
            <c:strRef>
              <c:f>'GRAPHS FOR REPORT'!$A$43:$A$54</c:f>
              <c:strCache>
                <c:ptCount val="12"/>
                <c:pt idx="0">
                  <c:v>April</c:v>
                </c:pt>
                <c:pt idx="1">
                  <c:v>May</c:v>
                </c:pt>
                <c:pt idx="2">
                  <c:v>June</c:v>
                </c:pt>
                <c:pt idx="3">
                  <c:v>July</c:v>
                </c:pt>
                <c:pt idx="4">
                  <c:v>August</c:v>
                </c:pt>
                <c:pt idx="5">
                  <c:v>September</c:v>
                </c:pt>
                <c:pt idx="6">
                  <c:v>October</c:v>
                </c:pt>
                <c:pt idx="7">
                  <c:v>November</c:v>
                </c:pt>
                <c:pt idx="8">
                  <c:v>December</c:v>
                </c:pt>
                <c:pt idx="9">
                  <c:v>January</c:v>
                </c:pt>
                <c:pt idx="10">
                  <c:v>February</c:v>
                </c:pt>
                <c:pt idx="11">
                  <c:v>March</c:v>
                </c:pt>
              </c:strCache>
            </c:strRef>
          </c:cat>
          <c:val>
            <c:numRef>
              <c:f>'GRAPHS FOR REPORT'!$E$43:$E$54</c:f>
              <c:numCache>
                <c:formatCode>0.00%</c:formatCode>
                <c:ptCount val="12"/>
                <c:pt idx="0">
                  <c:v>0.86</c:v>
                </c:pt>
                <c:pt idx="1">
                  <c:v>0.73</c:v>
                </c:pt>
                <c:pt idx="2">
                  <c:v>0.56999999999999995</c:v>
                </c:pt>
                <c:pt idx="3">
                  <c:v>0.91700000000000004</c:v>
                </c:pt>
                <c:pt idx="4">
                  <c:v>0.95699999999999996</c:v>
                </c:pt>
                <c:pt idx="5">
                  <c:v>0.96</c:v>
                </c:pt>
                <c:pt idx="6">
                  <c:v>0.93799999999999994</c:v>
                </c:pt>
                <c:pt idx="7">
                  <c:v>0.93</c:v>
                </c:pt>
                <c:pt idx="8">
                  <c:v>0.92559999999999998</c:v>
                </c:pt>
                <c:pt idx="9">
                  <c:v>0.9254</c:v>
                </c:pt>
                <c:pt idx="10">
                  <c:v>0.92520000000000002</c:v>
                </c:pt>
                <c:pt idx="11">
                  <c:v>0.91090000000000004</c:v>
                </c:pt>
              </c:numCache>
            </c:numRef>
          </c:val>
          <c:smooth val="0"/>
        </c:ser>
        <c:ser>
          <c:idx val="2"/>
          <c:order val="2"/>
          <c:tx>
            <c:strRef>
              <c:f>'GRAPHS FOR REPORT'!$F$42</c:f>
              <c:strCache>
                <c:ptCount val="1"/>
                <c:pt idx="0">
                  <c:v>2020/21</c:v>
                </c:pt>
              </c:strCache>
            </c:strRef>
          </c:tx>
          <c:marker>
            <c:symbol val="none"/>
          </c:marker>
          <c:dPt>
            <c:idx val="0"/>
            <c:marker>
              <c:symbol val="dash"/>
              <c:size val="10"/>
            </c:marker>
            <c:bubble3D val="0"/>
          </c:dPt>
          <c:cat>
            <c:strRef>
              <c:f>'GRAPHS FOR REPORT'!$A$43:$A$54</c:f>
              <c:strCache>
                <c:ptCount val="12"/>
                <c:pt idx="0">
                  <c:v>April</c:v>
                </c:pt>
                <c:pt idx="1">
                  <c:v>May</c:v>
                </c:pt>
                <c:pt idx="2">
                  <c:v>June</c:v>
                </c:pt>
                <c:pt idx="3">
                  <c:v>July</c:v>
                </c:pt>
                <c:pt idx="4">
                  <c:v>August</c:v>
                </c:pt>
                <c:pt idx="5">
                  <c:v>September</c:v>
                </c:pt>
                <c:pt idx="6">
                  <c:v>October</c:v>
                </c:pt>
                <c:pt idx="7">
                  <c:v>November</c:v>
                </c:pt>
                <c:pt idx="8">
                  <c:v>December</c:v>
                </c:pt>
                <c:pt idx="9">
                  <c:v>January</c:v>
                </c:pt>
                <c:pt idx="10">
                  <c:v>February</c:v>
                </c:pt>
                <c:pt idx="11">
                  <c:v>March</c:v>
                </c:pt>
              </c:strCache>
            </c:strRef>
          </c:cat>
          <c:val>
            <c:numRef>
              <c:f>'GRAPHS FOR REPORT'!$F$43:$F$54</c:f>
              <c:numCache>
                <c:formatCode>0.00%</c:formatCode>
                <c:ptCount val="12"/>
                <c:pt idx="0">
                  <c:v>0.88349999999999995</c:v>
                </c:pt>
                <c:pt idx="1">
                  <c:v>0.85389999999999999</c:v>
                </c:pt>
              </c:numCache>
            </c:numRef>
          </c:val>
          <c:smooth val="0"/>
        </c:ser>
        <c:ser>
          <c:idx val="3"/>
          <c:order val="3"/>
          <c:tx>
            <c:strRef>
              <c:f>'GRAPHS FOR REPORT'!$G$42</c:f>
              <c:strCache>
                <c:ptCount val="1"/>
                <c:pt idx="0">
                  <c:v>Target</c:v>
                </c:pt>
              </c:strCache>
            </c:strRef>
          </c:tx>
          <c:spPr>
            <a:ln>
              <a:solidFill>
                <a:sysClr val="windowText" lastClr="000000"/>
              </a:solidFill>
              <a:prstDash val="sysDot"/>
            </a:ln>
          </c:spPr>
          <c:marker>
            <c:symbol val="none"/>
          </c:marker>
          <c:cat>
            <c:strRef>
              <c:f>'GRAPHS FOR REPORT'!$A$43:$A$54</c:f>
              <c:strCache>
                <c:ptCount val="12"/>
                <c:pt idx="0">
                  <c:v>April</c:v>
                </c:pt>
                <c:pt idx="1">
                  <c:v>May</c:v>
                </c:pt>
                <c:pt idx="2">
                  <c:v>June</c:v>
                </c:pt>
                <c:pt idx="3">
                  <c:v>July</c:v>
                </c:pt>
                <c:pt idx="4">
                  <c:v>August</c:v>
                </c:pt>
                <c:pt idx="5">
                  <c:v>September</c:v>
                </c:pt>
                <c:pt idx="6">
                  <c:v>October</c:v>
                </c:pt>
                <c:pt idx="7">
                  <c:v>November</c:v>
                </c:pt>
                <c:pt idx="8">
                  <c:v>December</c:v>
                </c:pt>
                <c:pt idx="9">
                  <c:v>January</c:v>
                </c:pt>
                <c:pt idx="10">
                  <c:v>February</c:v>
                </c:pt>
                <c:pt idx="11">
                  <c:v>March</c:v>
                </c:pt>
              </c:strCache>
            </c:strRef>
          </c:cat>
          <c:val>
            <c:numRef>
              <c:f>'GRAPHS FOR REPORT'!$G$43:$G$54</c:f>
              <c:numCache>
                <c:formatCode>0%</c:formatCode>
                <c:ptCount val="12"/>
                <c:pt idx="0">
                  <c:v>0.95</c:v>
                </c:pt>
                <c:pt idx="1">
                  <c:v>0.95</c:v>
                </c:pt>
                <c:pt idx="2">
                  <c:v>0.95</c:v>
                </c:pt>
                <c:pt idx="3">
                  <c:v>0.95</c:v>
                </c:pt>
                <c:pt idx="4">
                  <c:v>0.95</c:v>
                </c:pt>
                <c:pt idx="5">
                  <c:v>0.95</c:v>
                </c:pt>
                <c:pt idx="6">
                  <c:v>0.95</c:v>
                </c:pt>
                <c:pt idx="7">
                  <c:v>0.95</c:v>
                </c:pt>
                <c:pt idx="8">
                  <c:v>0.95</c:v>
                </c:pt>
                <c:pt idx="9">
                  <c:v>0.95</c:v>
                </c:pt>
                <c:pt idx="10">
                  <c:v>0.95</c:v>
                </c:pt>
                <c:pt idx="11">
                  <c:v>0.95</c:v>
                </c:pt>
              </c:numCache>
            </c:numRef>
          </c:val>
          <c:smooth val="0"/>
        </c:ser>
        <c:dLbls>
          <c:showLegendKey val="0"/>
          <c:showVal val="0"/>
          <c:showCatName val="0"/>
          <c:showSerName val="0"/>
          <c:showPercent val="0"/>
          <c:showBubbleSize val="0"/>
        </c:dLbls>
        <c:marker val="1"/>
        <c:smooth val="0"/>
        <c:axId val="197264896"/>
        <c:axId val="197266432"/>
      </c:lineChart>
      <c:catAx>
        <c:axId val="197264896"/>
        <c:scaling>
          <c:orientation val="minMax"/>
        </c:scaling>
        <c:delete val="0"/>
        <c:axPos val="b"/>
        <c:majorTickMark val="out"/>
        <c:minorTickMark val="none"/>
        <c:tickLblPos val="nextTo"/>
        <c:txPr>
          <a:bodyPr/>
          <a:lstStyle/>
          <a:p>
            <a:pPr>
              <a:defRPr sz="900"/>
            </a:pPr>
            <a:endParaRPr lang="en-US"/>
          </a:p>
        </c:txPr>
        <c:crossAx val="197266432"/>
        <c:crosses val="autoZero"/>
        <c:auto val="1"/>
        <c:lblAlgn val="ctr"/>
        <c:lblOffset val="100"/>
        <c:noMultiLvlLbl val="0"/>
      </c:catAx>
      <c:valAx>
        <c:axId val="197266432"/>
        <c:scaling>
          <c:orientation val="minMax"/>
        </c:scaling>
        <c:delete val="0"/>
        <c:axPos val="l"/>
        <c:majorGridlines/>
        <c:numFmt formatCode="0%" sourceLinked="1"/>
        <c:majorTickMark val="out"/>
        <c:minorTickMark val="none"/>
        <c:tickLblPos val="nextTo"/>
        <c:crossAx val="197264896"/>
        <c:crosses val="autoZero"/>
        <c:crossBetween val="between"/>
      </c:valAx>
    </c:plotArea>
    <c:legend>
      <c:legendPos val="b"/>
      <c:overlay val="0"/>
    </c:legend>
    <c:plotVisOnly val="1"/>
    <c:dispBlanksAs val="gap"/>
    <c:showDLblsOverMax val="0"/>
  </c:chart>
  <c:spPr>
    <a:ln>
      <a:solidFill>
        <a:sysClr val="window" lastClr="FFFFFF">
          <a:lumMod val="50000"/>
        </a:sysClr>
      </a:solidFill>
    </a:ln>
  </c:sp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AAB733-3D96-4C79-BF70-A818C89BFE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6762</Words>
  <Characters>38545</Characters>
  <Application>Microsoft Office Word</Application>
  <DocSecurity>4</DocSecurity>
  <Lines>321</Lines>
  <Paragraphs>90</Paragraphs>
  <ScaleCrop>false</ScaleCrop>
  <HeadingPairs>
    <vt:vector size="2" baseType="variant">
      <vt:variant>
        <vt:lpstr>Title</vt:lpstr>
      </vt:variant>
      <vt:variant>
        <vt:i4>1</vt:i4>
      </vt:variant>
    </vt:vector>
  </HeadingPairs>
  <TitlesOfParts>
    <vt:vector size="1" baseType="lpstr">
      <vt:lpstr/>
    </vt:vector>
  </TitlesOfParts>
  <Company>NHS Wirral</Company>
  <LinksUpToDate>false</LinksUpToDate>
  <CharactersWithSpaces>45217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Angela Wendzicha</cp:lastModifiedBy>
  <cp:revision>2</cp:revision>
  <cp:lastPrinted>2020-06-16T06:15:00Z</cp:lastPrinted>
  <dcterms:created xsi:type="dcterms:W3CDTF">2020-06-16T06:15:00Z</dcterms:created>
  <dcterms:modified xsi:type="dcterms:W3CDTF">2020-06-16T06:15:00Z</dcterms:modified>
</cp:coreProperties>
</file>